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Engineered phage with antibacterial CRISPR–Cas selectively reduce E. coli burden in mice</w:t>
      </w:r>
    </w:p>
    <w:p>
      <w:pPr>
        <w:pStyle w:val="Heading2"/>
      </w:pPr>
      <w:r>
        <w:t>日本語タイトル</w:t>
      </w:r>
    </w:p>
    <w:p>
      <w:r>
        <w:t>抗菌CRISPR–Casを搭載した操作ファージによるマウス腸内E. coli選択的減少</w:t>
      </w:r>
    </w:p>
    <w:p>
      <w:pPr>
        <w:pStyle w:val="Heading2"/>
      </w:pPr>
      <w:r>
        <w:t>書誌情報</w:t>
      </w:r>
    </w:p>
    <w:tbl>
      <w:tblPr>
        <w:tblStyle w:val="TableGrid"/>
        <w:tblW w:type="auto" w:w="0"/>
        <w:tblLook w:firstColumn="1" w:firstRow="1" w:lastColumn="0" w:lastRow="0" w:noHBand="0" w:noVBand="1" w:val="04A0"/>
      </w:tblPr>
      <w:tblGrid>
        <w:gridCol w:w="4320"/>
        <w:gridCol w:w="4320"/>
      </w:tblGrid>
      <w:tr>
        <w:tc>
          <w:tcPr>
            <w:tcW w:type="dxa" w:w="4320"/>
          </w:tcPr>
          <w:p>
            <w:r>
              <w:t>著者</w:t>
            </w:r>
          </w:p>
        </w:tc>
        <w:tc>
          <w:tcPr>
            <w:tcW w:type="dxa" w:w="4320"/>
          </w:tcPr>
          <w:p>
            <w:r>
              <w:t>Gencay YE, Jasinskytė D, Robert C, Semsey S, Martínez V, Petersen AØ, Brunner K, de Santiago Torio A, Salazar A, Turcu IC, Eriksen MK, Koval L, Takos A, Pascal R, Schou TS, Bayer L, Bryde T, Johansen KC, Sommer MOA, et al.</w:t>
            </w:r>
          </w:p>
        </w:tc>
      </w:tr>
      <w:tr>
        <w:tc>
          <w:tcPr>
            <w:tcW w:type="dxa" w:w="4320"/>
          </w:tcPr>
          <w:p>
            <w:r>
              <w:t>誌名</w:t>
            </w:r>
          </w:p>
        </w:tc>
        <w:tc>
          <w:tcPr>
            <w:tcW w:type="dxa" w:w="4320"/>
          </w:tcPr>
          <w:p>
            <w:r>
              <w:t>Nature Biotechnology</w:t>
            </w:r>
          </w:p>
        </w:tc>
      </w:tr>
      <w:tr>
        <w:tc>
          <w:tcPr>
            <w:tcW w:type="dxa" w:w="4320"/>
          </w:tcPr>
          <w:p>
            <w:r>
              <w:t>出版年</w:t>
            </w:r>
          </w:p>
        </w:tc>
        <w:tc>
          <w:tcPr>
            <w:tcW w:type="dxa" w:w="4320"/>
          </w:tcPr>
          <w:p>
            <w:r>
              <w:t>2024 (published online May 2023)</w:t>
            </w:r>
          </w:p>
        </w:tc>
      </w:tr>
      <w:tr>
        <w:tc>
          <w:tcPr>
            <w:tcW w:type="dxa" w:w="4320"/>
          </w:tcPr>
          <w:p>
            <w:r>
              <w:t>DOI</w:t>
            </w:r>
          </w:p>
        </w:tc>
        <w:tc>
          <w:tcPr>
            <w:tcW w:type="dxa" w:w="4320"/>
          </w:tcPr>
          <w:p>
            <w:r>
              <w:t>10.1038/s41587-023-01759-y</w:t>
            </w:r>
          </w:p>
        </w:tc>
      </w:tr>
      <w:tr>
        <w:tc>
          <w:tcPr>
            <w:tcW w:type="dxa" w:w="4320"/>
          </w:tcPr>
          <w:p>
            <w:r>
              <w:t>PMID</w:t>
            </w:r>
          </w:p>
        </w:tc>
        <w:tc>
          <w:tcPr>
            <w:tcW w:type="dxa" w:w="4320"/>
          </w:tcPr>
          <w:p>
            <w:r>
              <w:t>37142704</w:t>
            </w:r>
          </w:p>
        </w:tc>
      </w:tr>
      <w:tr>
        <w:tc>
          <w:tcPr>
            <w:tcW w:type="dxa" w:w="4320"/>
          </w:tcPr>
          <w:p>
            <w:r>
              <w:t>巻/ページ</w:t>
            </w:r>
          </w:p>
        </w:tc>
        <w:tc>
          <w:tcPr>
            <w:tcW w:type="dxa" w:w="4320"/>
          </w:tcPr>
          <w:p>
            <w:r>
              <w:t>42:265–274</w:t>
            </w:r>
          </w:p>
        </w:tc>
      </w:tr>
    </w:tbl>
    <w:p>
      <w:pPr>
        <w:pStyle w:val="Heading2"/>
      </w:pPr>
      <w:r>
        <w:t>背景・課題</w:t>
      </w:r>
    </w:p>
    <w:p>
      <w:r>
        <w:t>腸内マイクロバイオームには有益な常在菌と日和見病原体が共存しており、抗菌薬投与は有害菌とともに有益菌も排除してしまう問題がある。造血器悪性腫瘍患者では化学療法時に腸内E. coliが異常増殖し、血流感染を引き起こして致死的転帰をもたらすことが課題である。E. coliのみを選択的に標的化し、他の腸内菌叢を保全する「精密菌叢改変」技術の確立が求められていた。</w:t>
      </w:r>
    </w:p>
    <w:p>
      <w:pPr>
        <w:pStyle w:val="Heading2"/>
      </w:pPr>
      <w:r>
        <w:t>手法</w:t>
      </w:r>
    </w:p>
    <w:p>
      <w:r>
        <w:t>162種の野生型ファージライブラリーをスクリーニングし、E. coliへの広域活性・相補的受容体結合・安定なカーゴ保持能を持つ8種を選抜した。選抜した8種のファージに対してテールファイバー改変によるホスト域拡張を行い、さらにE. coli特異的ゲノム配列を標的とするCRISPR-Casカセットを搭載した（CRISPR-Cas Armed Phages; CAPs）。各CAPの活性・耐性出現率・in vivo効力を個別および組み合わせで評価し、最も相補的な4種を組み合わせたカクテルをSNIPR001として定義した。無菌マウスへの大腸菌コロニゼーション実験（単独およびCAPs投与）と、ミニブタを用いた安全性・薬動力学試験を実施した。CAP同士の相互作用、バイオフィルム内活性、耐性ミュータント出現を定量評価した。</w:t>
      </w:r>
    </w:p>
    <w:p>
      <w:pPr>
        <w:pStyle w:val="Heading2"/>
      </w:pPr>
      <w:r>
        <w:t>結果</w:t>
      </w:r>
    </w:p>
    <w:p>
      <w:r>
        <w:t>SNIPR001はマウス腸内E. coli量を単剤CAP比較で有意に減少させた（p&lt;0.05、各CAP単独より高効力）。ミニブタ安全性試験では有害事象なく忍容性良好、腸内常在菌叢への影響は最小限であった。SNIPR001はバイオフィルム内のE. coliに対しても有効であった。CAPs同士の共培養実験でSNIPR001は野生型祖先ファージより競合優位性を示した（&gt;2 log増殖優位）。CRISPR-Cas搭載により耐性ミュータント出現頻度が野生型ファージ対比で約100倍低減した。4種の異なる受容体認識により広域かつ相補的なE. coliカバレッジが達成された。臨床試験（造血器腫瘍患者を対象）でのフェーズI/IIへの移行が確認されている。</w:t>
      </w:r>
    </w:p>
    <w:p>
      <w:pPr>
        <w:pStyle w:val="Heading2"/>
      </w:pPr>
      <w:r>
        <w:t>考察・新規性</w:t>
      </w:r>
    </w:p>
    <w:p>
      <w:r>
        <w:t>本研究はCRISPR-Casを搭載したファージカクテルによって腸内マイクロバイオームのE. coliを選択的に排除できることを初めて体系的に示した点で画期的である。従来の抗菌薬と異なり、非標的菌叢への影響が最小限であり「精密菌叢改変」の概念を前進させた。SNIPR001の臨床開発（造血器腫瘍患者のE. coli由来血流感染予防）はファージ医薬品として初のCRISPR搭載型であり、新しいモダリティを確立した。</w:t>
      </w:r>
    </w:p>
    <w:p>
      <w:pPr>
        <w:pStyle w:val="Heading2"/>
      </w:pPr>
      <w:r>
        <w:t>限界と今後の展望</w:t>
      </w:r>
    </w:p>
    <w:p>
      <w:r>
        <w:t>マウス・ミニブタモデルでの有効性がヒト複雑腸内菌叢にどこまで外挿できるかは臨床試験で検証が必要である。ファージ耐性の長期的な出現やHGT（水平遺伝子移動）によるCRISPR-Casカセットの拡散リスクに関してさらなる検討が求められる。他の病原体（Klebsiella、Enterococcusなど）への拡張適用と多様なファージバックボーンへのCRISPR搭載が今後の課題である。</w:t>
      </w:r>
    </w:p>
    <w:p>
      <w:pPr>
        <w:pStyle w:val="Heading2"/>
      </w:pPr>
      <w:r>
        <w:t>トピックへのインプリケーション</w:t>
      </w:r>
    </w:p>
    <w:p>
      <w:r>
        <w:t>CRISPR-Cas搭載ファージによる標的菌選択的除去は、疾患関連菌の除去と健全菌叢の保全を両立する精密菌叢改変の実現可能性を示し、T1（ファージによる菌叢改変）の最先端研究として位置づけられる。</w:t>
      </w:r>
    </w:p>
    <w:p>
      <w:r>
        <w:t>Metadata: PMID=37142704; DOI=10.1038/s41587-023-01759-y; topic=1; generated=2026-05-13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