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rPr>
        <w:t>Phage intervention improves colitis and response to corticosteroids by attenuating virulence of Crohn's disease-associated bacteria</w:t>
      </w:r>
    </w:p>
    <w:p>
      <w:pPr>
        <w:pStyle w:val="Heading2"/>
      </w:pPr>
      <w:r>
        <w:rPr>
          <w:rFonts w:ascii="Yu Gothic" w:hAnsi="Yu Gothic"/>
        </w:rPr>
        <w:t>日本語訳タイトル</w:t>
      </w:r>
    </w:p>
    <w:p>
      <w:r>
        <w:rPr>
          <w:rFonts w:ascii="Yu Gothic" w:hAnsi="Yu Gothic"/>
        </w:rPr>
        <w:t>ファージ介入はクローン病関連細菌の病原性を抑制することで大腸炎と副腎皮質ステロイドへの反応を改善する</w:t>
      </w:r>
    </w:p>
    <w:p>
      <w:pPr>
        <w:pStyle w:val="Heading2"/>
      </w:pPr>
      <w:r>
        <w:rPr>
          <w:rFonts w:ascii="Yu Gothic" w:hAnsi="Yu Gothic"/>
        </w:rPr>
        <w:t>論文情報</w:t>
      </w:r>
    </w:p>
    <w:tbl>
      <w:tblPr>
        <w:tblStyle w:val="TableGrid"/>
        <w:tblW w:type="auto" w:w="0"/>
        <w:tblLook w:firstColumn="1" w:firstRow="1" w:lastColumn="0" w:lastRow="0" w:noHBand="0" w:noVBand="1" w:val="04A0"/>
      </w:tblPr>
      <w:tblGrid>
        <w:gridCol w:w="4658"/>
        <w:gridCol w:w="4658"/>
      </w:tblGrid>
      <w:tr>
        <w:tc>
          <w:tcPr>
            <w:tcW w:type="dxa" w:w="4658"/>
          </w:tcPr>
          <w:p>
            <w:r>
              <w:t>著者</w:t>
            </w:r>
          </w:p>
        </w:tc>
        <w:tc>
          <w:tcPr>
            <w:tcW w:type="dxa" w:w="4658"/>
          </w:tcPr>
          <w:p>
            <w:r>
              <w:t>Kyle Jackson, Heather Galipeau, Amber Hann, Marco Constante, Megan Zangara, Michael Bording-Jorgensen, Alexandra Fuentes, Heidi Ho, Jessica Wang, Chiko Shimbori, Paul Moayyedi, Michael Surette, Premysl Bercik, Brian Coombes, Zeinab Hosseinidoust, Elena F. Verdu</w:t>
            </w:r>
          </w:p>
        </w:tc>
      </w:tr>
      <w:tr>
        <w:tc>
          <w:tcPr>
            <w:tcW w:type="dxa" w:w="4658"/>
          </w:tcPr>
          <w:p>
            <w:r>
              <w:t>誌名</w:t>
            </w:r>
          </w:p>
        </w:tc>
        <w:tc>
          <w:tcPr>
            <w:tcW w:type="dxa" w:w="4658"/>
          </w:tcPr>
          <w:p>
            <w:r>
              <w:t>bioRxiv (preprint)</w:t>
            </w:r>
          </w:p>
        </w:tc>
      </w:tr>
      <w:tr>
        <w:tc>
          <w:tcPr>
            <w:tcW w:type="dxa" w:w="4658"/>
          </w:tcPr>
          <w:p>
            <w:r>
              <w:t>出版年</w:t>
            </w:r>
          </w:p>
        </w:tc>
        <w:tc>
          <w:tcPr>
            <w:tcW w:type="dxa" w:w="4658"/>
          </w:tcPr>
          <w:p>
            <w:r>
              <w:t>2025</w:t>
            </w:r>
          </w:p>
        </w:tc>
      </w:tr>
      <w:tr>
        <w:tc>
          <w:tcPr>
            <w:tcW w:type="dxa" w:w="4658"/>
          </w:tcPr>
          <w:p>
            <w:r>
              <w:t>DOI</w:t>
            </w:r>
          </w:p>
        </w:tc>
        <w:tc>
          <w:tcPr>
            <w:tcW w:type="dxa" w:w="4658"/>
          </w:tcPr>
          <w:p>
            <w:r>
              <w:t>10.1101/2025.06.05.658057</w:t>
            </w:r>
          </w:p>
        </w:tc>
      </w:tr>
      <w:tr>
        <w:tc>
          <w:tcPr>
            <w:tcW w:type="dxa" w:w="4658"/>
          </w:tcPr>
          <w:p>
            <w:r>
              <w:t>PMID/arXiv</w:t>
            </w:r>
          </w:p>
        </w:tc>
        <w:tc>
          <w:tcPr>
            <w:tcW w:type="dxa" w:w="4658"/>
          </w:tcPr>
          <w:p>
            <w:r>
              <w:t>N/A (preprint)</w:t>
            </w:r>
          </w:p>
        </w:tc>
      </w:tr>
      <w:tr>
        <w:tc>
          <w:tcPr>
            <w:tcW w:type="dxa" w:w="4658"/>
          </w:tcPr>
          <w:p>
            <w:r>
              <w:t>査読</w:t>
            </w:r>
          </w:p>
        </w:tc>
        <w:tc>
          <w:tcPr>
            <w:tcW w:type="dxa" w:w="4658"/>
          </w:tcPr>
          <w:p>
            <w:r>
              <w:t>未査読プレプリント</w:t>
            </w:r>
          </w:p>
        </w:tc>
      </w:tr>
    </w:tbl>
    <w:p>
      <w:pPr>
        <w:pStyle w:val="Heading2"/>
      </w:pPr>
      <w:r>
        <w:rPr>
          <w:rFonts w:ascii="Yu Gothic" w:hAnsi="Yu Gothic"/>
        </w:rPr>
        <w:t>背景・課題</w:t>
      </w:r>
    </w:p>
    <w:p>
      <w:r>
        <w:rPr>
          <w:rFonts w:ascii="Yu Gothic" w:hAnsi="Yu Gothic"/>
        </w:rPr>
        <w:t>付着浸潤性大腸菌 (Adherent-Invasive Escherichia coli; AIEC) はクローン病 (CD) の病態形成に関与するが、広域スペクトル抗生物質はマイクロビオームを広範に障害するため、標的を絞った代替手段が求められている。ファージは細菌種特異性が高く、AIECを選択的に標的とするマイクロビオーム編集ツールとして期待されている。ファージが菌の「殺傷」にとどまらず、遺伝子発現レベルで病原性を制御できるかどうかは未解明であった。</w:t>
      </w:r>
    </w:p>
    <w:p>
      <w:pPr>
        <w:pStyle w:val="Heading2"/>
      </w:pPr>
      <w:r>
        <w:rPr>
          <w:rFonts w:ascii="Yu Gothic" w:hAnsi="Yu Gothic"/>
        </w:rPr>
        <w:t>手法</w:t>
      </w:r>
    </w:p>
    <w:p>
      <w:r>
        <w:rPr>
          <w:rFonts w:ascii="Yu Gothic" w:hAnsi="Yu Gothic"/>
        </w:rPr>
        <w:t>CDに関連するAIEC株 NRG857c に対して活性を示すファージ HER259 を同定した。無菌 (gnotobiotic) マウスに定義された菌叢を定着させたAIEC駆動大腸炎モデルを構築し、HER259 の単独投与およびサブ治療用量のブデソニド（副腎皮質ステロイド）との組み合わせ効果を評価した。ファージ曝露中および投与中止後の細菌の遺伝子発現変化、特に付着因子 FimH の発現を制御する fimS プロモーターの状態をシーケンシングで追跡した。腸炎スコア、AIEC 負荷量、免疫パラメーターを測定した。</w:t>
      </w:r>
    </w:p>
    <w:p>
      <w:pPr>
        <w:pStyle w:val="Heading2"/>
      </w:pPr>
      <w:r>
        <w:rPr>
          <w:rFonts w:ascii="Yu Gothic" w:hAnsi="Yu Gothic"/>
        </w:rPr>
        <w:t>結果</w:t>
      </w:r>
    </w:p>
    <w:p>
      <w:r>
        <w:rPr>
          <w:rFonts w:ascii="Yu Gothic" w:hAnsi="Yu Gothic"/>
        </w:rPr>
        <w:t>HER259 は AIEC の病原性を有意に抑制した（腸炎スコア改善、AIEC 負荷量低下）。機序解析により、HER259 曝露が fimS プロモーターを「off」状態に反転させ、付着因子 FimH の発現を抑制することが判明した。HER259 の投与中止後は fimS が「on」状態に戻り、大腸炎が再燃した（可逆的効果）。HER259 はサブ治療量のブデソニドの治療効果を有意に増強した。この相乗効果は腸内細菌によるステロイドの代謝とは独立した機構によるものであった。gnotobiotic モデルでの再現性が確認された。</w:t>
      </w:r>
    </w:p>
    <w:p>
      <w:pPr>
        <w:pStyle w:val="Heading2"/>
      </w:pPr>
      <w:r>
        <w:rPr>
          <w:rFonts w:ascii="Yu Gothic" w:hAnsi="Yu Gothic"/>
        </w:rPr>
        <w:t>考察・新規性</w:t>
      </w:r>
    </w:p>
    <w:p>
      <w:r>
        <w:rPr>
          <w:rFonts w:ascii="Yu Gothic" w:hAnsi="Yu Gothic"/>
        </w:rPr>
        <w:t>本研究は、ファージが「菌を殺す」だけでなく、病原性遺伝子の発現状態をエピジェネティック様に制御できることを示した。fimS スイッチの可逆的制御は、ファージを選択圧として利用した新たな「病原性サイレンシング」の概念を提示する。副腎皮質ステロイドとの相乗効果は、既存 CD 治療薬の有効性を維持しつつ菌叢への副作用を最小化できる可能性を示す点で臨床的に重要である。</w:t>
      </w:r>
    </w:p>
    <w:p>
      <w:pPr>
        <w:pStyle w:val="Heading2"/>
      </w:pPr>
      <w:r>
        <w:rPr>
          <w:rFonts w:ascii="Yu Gothic" w:hAnsi="Yu Gothic"/>
        </w:rPr>
        <w:t>限界と今後の展望</w:t>
      </w:r>
    </w:p>
    <w:p>
      <w:r>
        <w:rPr>
          <w:rFonts w:ascii="Yu Gothic" w:hAnsi="Yu Gothic"/>
        </w:rPr>
        <w:t>本研究はgnotobioticマウスモデルを使用しており、より複雑なヒト腸内菌叢環境での検証が必要である。HER259 の影響が fimS 以外の病原性因子に及ぶかどうかは未解明であり、今後の網羅的解析が期待される。ヒト臨床試験での有効性と安全性の検証が次の重要ステップとなる。</w:t>
      </w:r>
    </w:p>
    <w:p>
      <w:pPr>
        <w:pStyle w:val="Heading2"/>
      </w:pPr>
      <w:r>
        <w:rPr>
          <w:rFonts w:ascii="Yu Gothic" w:hAnsi="Yu Gothic"/>
        </w:rPr>
        <w:t>トピックへのインプリケーション</w:t>
      </w:r>
    </w:p>
    <w:p>
      <w:r>
        <w:rPr>
          <w:rFonts w:ascii="Yu Gothic" w:hAnsi="Yu Gothic"/>
        </w:rPr>
        <w:t>菌叢改変 (T1) において、ファージによる「殺菌」ではなく「病原性制御」という新たなパラダイムを提示し、難治性炎症性腸疾患への精密マイクロビオーム治療の可能性を広げる。</w:t>
      </w:r>
    </w:p>
    <w:p>
      <w:r>
        <w:t>Metadata: PMID=N/A; DOI=10.1101/2025.06.05.658057; topic=1; generated=2026-06-16</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