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Long-read metagenomics reveals phage dynamics in the human gut microbiome</w:t>
      </w:r>
    </w:p>
    <w:p>
      <w:pPr>
        <w:pStyle w:val="Heading2"/>
      </w:pPr>
      <w:r>
        <w:t>日本語訳タイトル</w:t>
      </w:r>
    </w:p>
    <w:p>
      <w:r>
        <w:t>ロングリードメタゲノミクスがヒト腸内マイクロバイオームにおけるファージダイナミクスを解明する</w:t>
      </w:r>
    </w:p>
    <w:p>
      <w:pPr>
        <w:pStyle w:val="Heading2"/>
      </w:pPr>
      <w:r>
        <w:t>書誌情報</w:t>
      </w:r>
    </w:p>
    <w:tbl>
      <w:tblPr>
        <w:tblStyle w:val="LightList-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Jakob Wirbel, Angela S. Hickey, Daniel Chang, Nora J. Enright, Mai Dvorak, Rachael B. Chanin, Danica T. Schmidtke, Ami S. Bhatt</w:t>
            </w:r>
          </w:p>
        </w:tc>
      </w:tr>
      <w:tr>
        <w:tc>
          <w:tcPr>
            <w:tcW w:type="dxa" w:w="4320"/>
          </w:tcPr>
          <w:p>
            <w:r>
              <w:t>誌名</w:t>
            </w:r>
          </w:p>
        </w:tc>
        <w:tc>
          <w:tcPr>
            <w:tcW w:type="dxa" w:w="4320"/>
          </w:tcPr>
          <w:p>
            <w:r>
              <w:t>Nature</w:t>
            </w:r>
          </w:p>
        </w:tc>
      </w:tr>
      <w:tr>
        <w:tc>
          <w:tcPr>
            <w:tcW w:type="dxa" w:w="4320"/>
          </w:tcPr>
          <w:p>
            <w:r>
              <w:t>出版年</w:t>
            </w:r>
          </w:p>
        </w:tc>
        <w:tc>
          <w:tcPr>
            <w:tcW w:type="dxa" w:w="4320"/>
          </w:tcPr>
          <w:p>
            <w:r>
              <w:t>2025</w:t>
            </w:r>
          </w:p>
        </w:tc>
      </w:tr>
      <w:tr>
        <w:tc>
          <w:tcPr>
            <w:tcW w:type="dxa" w:w="4320"/>
          </w:tcPr>
          <w:p>
            <w:r>
              <w:t>DOI</w:t>
            </w:r>
          </w:p>
        </w:tc>
        <w:tc>
          <w:tcPr>
            <w:tcW w:type="dxa" w:w="4320"/>
          </w:tcPr>
          <w:p>
            <w:r>
              <w:t>10.1038/s41586-025-09786-2</w:t>
            </w:r>
          </w:p>
        </w:tc>
      </w:tr>
      <w:tr>
        <w:tc>
          <w:tcPr>
            <w:tcW w:type="dxa" w:w="4320"/>
          </w:tcPr>
          <w:p>
            <w:r>
              <w:t>PMID</w:t>
            </w:r>
          </w:p>
        </w:tc>
        <w:tc>
          <w:tcPr>
            <w:tcW w:type="dxa" w:w="4320"/>
          </w:tcPr>
          <w:p>
            <w:r>
              <w:t>41299176</w:t>
            </w:r>
          </w:p>
        </w:tc>
      </w:tr>
      <w:tr>
        <w:tc>
          <w:tcPr>
            <w:tcW w:type="dxa" w:w="4320"/>
          </w:tcPr>
          <w:p>
            <w:r>
              <w:t>arXiv/PMC</w:t>
            </w:r>
          </w:p>
        </w:tc>
        <w:tc>
          <w:tcPr>
            <w:tcW w:type="dxa" w:w="4320"/>
          </w:tcPr>
          <w:p>
            <w:r>
              <w:t>PMC12823448</w:t>
            </w:r>
          </w:p>
        </w:tc>
      </w:tr>
    </w:tbl>
    <w:p>
      <w:pPr>
        <w:pStyle w:val="Heading2"/>
      </w:pPr>
      <w:r>
        <w:t>背景・課題</w:t>
      </w:r>
    </w:p>
    <w:p>
      <w:r>
        <w:t>腸内バクテリオファージ（特にプロファージ）は腸内細菌叢の生態と宿主の健康に深く関わるが、ショートリード配列解析の限界から統合動態の詳細は不明であった。プロファージが腸内細菌に動的に獲得・喪失されるのか、またファージが宿主特異性を超えて異なる分類群に組み込まれうるのかという基本的な問いに対する答えが欠如していた。</w:t>
      </w:r>
    </w:p>
    <w:p>
      <w:pPr>
        <w:pStyle w:val="Heading2"/>
      </w:pPr>
      <w:r>
        <w:t>手法</w:t>
      </w:r>
    </w:p>
    <w:p>
      <w:r>
        <w:t>Oxford Nanoporeロングリードバルクメタゲノムシーケンシングを健康な成人6名から2年間にわたり採取した糞便サンプル（一人あたり約12検体）に適用した。VIBRANT、DeepVirFinder等のファージ予測ツールでプロファージを同定し、組み込みダイナミクスを追跡するカスタムパイプラインを開発した。計約72サンプルを処理し、プロファージの安定性・誘導・クロスファミリー組み込みを縦断的に解析した。IScream ファージに関しては IS30 トランスポサーゼとの関係をゲノム比較により分析した。</w:t>
      </w:r>
    </w:p>
    <w:p>
      <w:pPr>
        <w:pStyle w:val="Heading2"/>
      </w:pPr>
      <w:r>
        <w:t>結果</w:t>
      </w:r>
    </w:p>
    <w:p>
      <w:r>
        <w:t>プロファージの約95%は同一細菌宿主に安定して組み込まれたままであった。一方、約5%のファージは持続的な細菌宿主において動的に獲得または喪失された。単一サンプル内で特定プロファージを保持する細菌と保持しない細菌が共存していることが観察された。ファージ誘導が検出された場合、そのカバレッジは宿主領域の1〜3倍と低レベルであり、理論的予測と一致した。同一ファージが異なる細菌ファミリーに組み込まれる事例が複数確認され、ファージ宿主特異性に関する従来の定説に挑戦する結果となった。細菌の IS30 トランスポサーゼを流用して移動を媒介する新規ファージクラス「IScream ファージ」を発見した。これはファージによる細菌の自己本位的エレメント家畜化の新形態を示す。</w:t>
      </w:r>
    </w:p>
    <w:p>
      <w:pPr>
        <w:pStyle w:val="Heading2"/>
      </w:pPr>
      <w:r>
        <w:t>考察・新規性</w:t>
      </w:r>
    </w:p>
    <w:p>
      <w:r>
        <w:t>本研究はロングリード配列解析という技術的革新をヒト腸内ファージ研究に初めて大規模に適用し、従来不可視だったプロファージ動態を縦断的に捉えることを可能にした。ファージが宿主ファミリーを超えて組み込まれるという知見は、ファージ療法やマイクロバイオーム操作の設計に根本的な再考を促す。IScream ファージの発見は、ファージと宿主ゲノムが相互に利用し合う新たな進化モードを示し、腸内進化生態学に新しい次元を加える。</w:t>
      </w:r>
    </w:p>
    <w:p>
      <w:pPr>
        <w:pStyle w:val="Heading2"/>
      </w:pPr>
      <w:r>
        <w:t>限界と今後の展望</w:t>
      </w:r>
    </w:p>
    <w:p>
      <w:r>
        <w:t>健康な成人6名という限られたコホートであり、疾患状態や年齢・食事多様性への一般化には追加研究が必要である。ロングリードシーケンシングは高コスト・高計算負荷であり、大規模臨床研究への展開には最適化が求められる。IScream ファージの機能的役割や病原性・日和見感染との関連を検証する実験的研究が今後の課題となる。</w:t>
      </w:r>
    </w:p>
    <w:p>
      <w:pPr>
        <w:pStyle w:val="Heading2"/>
      </w:pPr>
      <w:r>
        <w:t>トピックへのインプリケーション</w:t>
      </w:r>
    </w:p>
    <w:p>
      <w:r>
        <w:t>T1（ファージによる菌叢改変）の文脈では、プロファージの動的な得失とクロスファミリー組み込みの実態が明らかになったことで、ファージ療法によるマイクロバイオーム精密制御のための新たな分子標的と設計原理が提供された。</w:t>
      </w:r>
    </w:p>
    <w:p>
      <w:r>
        <w:t>Metadata: PMID=41299176; DOI=10.1038/s41586-025-09786-2; topic=1; generated=2026-06-07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