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Two-Phage Cocktail Modulates Gut Microbiota Composition and Metabolic Profiles in an Ex Vivo Colon Model</w:t>
      </w:r>
    </w:p>
    <w:p>
      <w:pPr>
        <w:pStyle w:val="Heading2"/>
      </w:pPr>
      <w:r>
        <w:t>日本語訳タイトル</w:t>
      </w:r>
    </w:p>
    <w:p>
      <w:r>
        <w:t>2ファージカクテルによるex vivo結腸モデルにおける腸内菌叢組成と代謝プロファイルの調節</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Rodríguez-Arellano SN, González-Gómez JP, Gomez-Gil B, González-Ávila M, Palomera-Hernández JR, Barrón-Cabrera E, Vergara-Jiménez MdJ, Chaidez C</w:t>
            </w:r>
          </w:p>
        </w:tc>
      </w:tr>
      <w:tr>
        <w:tc>
          <w:tcPr>
            <w:tcW w:type="dxa" w:w="4320"/>
          </w:tcPr>
          <w:p>
            <w:r>
              <w:t>誌名</w:t>
            </w:r>
          </w:p>
        </w:tc>
        <w:tc>
          <w:tcPr>
            <w:tcW w:type="dxa" w:w="4320"/>
          </w:tcPr>
          <w:p>
            <w:r>
              <w:t>International Journal of Molecular Sciences</w:t>
            </w:r>
          </w:p>
        </w:tc>
      </w:tr>
      <w:tr>
        <w:tc>
          <w:tcPr>
            <w:tcW w:type="dxa" w:w="4320"/>
          </w:tcPr>
          <w:p>
            <w:r>
              <w:t>出版年</w:t>
            </w:r>
          </w:p>
        </w:tc>
        <w:tc>
          <w:tcPr>
            <w:tcW w:type="dxa" w:w="4320"/>
          </w:tcPr>
          <w:p>
            <w:r>
              <w:t>2025</w:t>
            </w:r>
          </w:p>
        </w:tc>
      </w:tr>
      <w:tr>
        <w:tc>
          <w:tcPr>
            <w:tcW w:type="dxa" w:w="4320"/>
          </w:tcPr>
          <w:p>
            <w:r>
              <w:t>DOI</w:t>
            </w:r>
          </w:p>
        </w:tc>
        <w:tc>
          <w:tcPr>
            <w:tcW w:type="dxa" w:w="4320"/>
          </w:tcPr>
          <w:p>
            <w:r>
              <w:t>10.3390/ijms26062805</w:t>
            </w:r>
          </w:p>
        </w:tc>
      </w:tr>
      <w:tr>
        <w:tc>
          <w:tcPr>
            <w:tcW w:type="dxa" w:w="4320"/>
          </w:tcPr>
          <w:p>
            <w:r>
              <w:t>PMC</w:t>
            </w:r>
          </w:p>
        </w:tc>
        <w:tc>
          <w:tcPr>
            <w:tcW w:type="dxa" w:w="4320"/>
          </w:tcPr>
          <w:p>
            <w:r>
              <w:t>PMC11942677</w:t>
            </w:r>
          </w:p>
        </w:tc>
      </w:tr>
      <w:tr>
        <w:tc>
          <w:tcPr>
            <w:tcW w:type="dxa" w:w="4320"/>
          </w:tcPr>
          <w:p>
            <w:r>
              <w:t>PMID</w:t>
            </w:r>
          </w:p>
        </w:tc>
        <w:tc>
          <w:tcPr>
            <w:tcW w:type="dxa" w:w="4320"/>
          </w:tcPr>
          <w:p>
            <w:r>
              <w:t>N/A</w:t>
            </w:r>
          </w:p>
        </w:tc>
      </w:tr>
    </w:tbl>
    <w:p>
      <w:pPr>
        <w:pStyle w:val="Heading2"/>
      </w:pPr>
      <w:r>
        <w:t>背景・課題</w:t>
      </w:r>
    </w:p>
    <w:p>
      <w:r>
        <w:t>肥満は世界的な公衆衛生上の課題であり、腸内細菌叢の乱れ（特にEnterobacter cloacaeなど腸内細菌科の過増殖）が代謝障害と密接に関連する。ファージ療法は特定の細菌を選択的に除去できる精密ツールとして注目されるが、ヒト消化管に近いex vivo条件下でのファージカクテルの安定性・有効性を示すデータは乏しかった。複数の結腸領域にわたってファージが活性を維持できるかどうかは実用化に向けた重要な未解決課題であった。</w:t>
      </w:r>
    </w:p>
    <w:p>
      <w:pPr>
        <w:pStyle w:val="Heading2"/>
      </w:pPr>
      <w:r>
        <w:t>手法</w:t>
      </w:r>
    </w:p>
    <w:p>
      <w:r>
        <w:t>肥満患者由来の糞便試料を用いてex vivo結腸シミュレーションモデル（QECA発酵システム）を構築し、ヒト結腸の上行・横行・下行の3領域を模倣した。通常菌叢群と、E. cloacaeを添加した肥満関連dysbiosis群の両群を設定。ファージphECe17とphECt29の2種からなるカクテルを添加し、3消化サイクルにわたって各区画での細菌数・ファージ力価（プラークアッセイ）を定期測定。短鎖脂肪酸（SCFA: 酢酸・プロピオン酸・酪酸）をGCMSで定量し、代謝プロファイルの変化を評価した。対照群（ファージ非添加、E. cloacae添加非添加）を含む比較設計を採用し、選択性と安全性を包括的に検討した。</w:t>
      </w:r>
    </w:p>
    <w:p>
      <w:pPr>
        <w:pStyle w:val="Heading2"/>
      </w:pPr>
      <w:r>
        <w:t>結果</w:t>
      </w:r>
    </w:p>
    <w:p>
      <w:r>
        <w:t>ファージカクテルは3消化サイクルを通じて全3結腸領域でlytic活性を維持（力価 &gt;10⁶ PFU/mL）。E. cloacae強化群では腸内細菌科全体が平均2 log CFU/mL以上有意に低下（p&lt;0.05）。通常菌叢においてもE. cloacaeの選択的抑制が確認され、Lactobacillus・Bacteroidesなど有益菌は統計的に有意な変化なし。SCFAプロファイル（酢酸・プロピオン酸・酪酸）は両群間で有意差なく、ファージ介入が菌叢代謝機能を保持することを示した。ファージカクテルの宿主毒性は観察されず、有益菌保護を確認した。腸管環境を模倣したex vivo系での効果は、将来的な臨床応用への橋渡し的エビデンスとして意義が大きい。</w:t>
      </w:r>
    </w:p>
    <w:p>
      <w:pPr>
        <w:pStyle w:val="Heading2"/>
      </w:pPr>
      <w:r>
        <w:t>考察・新規性</w:t>
      </w:r>
    </w:p>
    <w:p>
      <w:r>
        <w:t>本研究はファージカクテルが肥満関連dysbiosis（E. cloacae過増殖）に対して、ヒト腸内環境を模倣したex vivo条件下で有効であることを初めて実証した点で新規性が高い。従来の試験管内実験・動物実験と異なり、複数の結腸領域・複数消化サイクルにわたる実証は実臨床応用の信頼性を高める。有益菌の保護とSCFA産生の維持は、精密ファージ療法の安全性・選択性を支持する重要な知見である。肥満という代謝疾患の文脈でのファージ菌叢調節研究として、既存の感染症治療中心のファージ研究を超えた展開を示す。</w:t>
      </w:r>
    </w:p>
    <w:p>
      <w:pPr>
        <w:pStyle w:val="Heading2"/>
      </w:pPr>
      <w:r>
        <w:t>限界と今後の展望</w:t>
      </w:r>
    </w:p>
    <w:p>
      <w:r>
        <w:t>単一ドナー由来菌叢のみを使用しており、個人間変動を考慮した多様なコホートでの検証が必要。ex vivoモデルはin vivoの免疫応答・ムチン層・腸管運動を再現できないため、動物モデルを経てヒト臨床試験へのスケールアップが今後の課題。</w:t>
      </w:r>
    </w:p>
    <w:p>
      <w:pPr>
        <w:pStyle w:val="Heading2"/>
      </w:pPr>
      <w:r>
        <w:t>トピックへのインプリケーション</w:t>
      </w:r>
    </w:p>
    <w:p>
      <w:r>
        <w:t>T1（ファージによる菌叢改変）: ファージカクテルによる肥満関連菌叢の選択的調節が消化管環境を模倣した条件下で実現可能であることを示し、精密ファージ療法の将来的な臨床応用への有力な先行知見を提供する。</w:t>
      </w:r>
    </w:p>
    <w:p>
      <w:r>
        <w:t>Metadata: PMID=N/A; DOI=10.3390/ijms26062805; topic=1; generated=2026-07-22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