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Isolation, engineering and ecology of temperate phages from the human gut</w:t>
      </w:r>
    </w:p>
    <w:p>
      <w:pPr>
        <w:pStyle w:val="Heading2"/>
      </w:pPr>
      <w:r>
        <w:t>日本語訳タイトル</w:t>
      </w:r>
    </w:p>
    <w:p>
      <w:r>
        <w:t>ヒト腸内温和性ファージの単離・工学的改変・生態学的解析</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Dahlman S, Avellaneda-Franco L, Rutten EL, Gulliver EL, Solari S, Chonwerawong M, Kett C, Subedi D, Young RB, Campbell N, Gould JA, Bell JD, Docherty CAH, Turkington CJR, Nezam-Abadi N, Grasis JA, Lyras D, Edwards RA, Forster SC, Barr JJ</w:t>
            </w:r>
          </w:p>
        </w:tc>
      </w:tr>
      <w:tr>
        <w:tc>
          <w:tcPr>
            <w:tcW w:type="dxa" w:w="4320"/>
          </w:tcPr>
          <w:p>
            <w:r>
              <w:t>誌名</w:t>
            </w:r>
          </w:p>
        </w:tc>
        <w:tc>
          <w:tcPr>
            <w:tcW w:type="dxa" w:w="4320"/>
          </w:tcPr>
          <w:p>
            <w:r>
              <w:t>Nature</w:t>
            </w:r>
          </w:p>
        </w:tc>
      </w:tr>
      <w:tr>
        <w:tc>
          <w:tcPr>
            <w:tcW w:type="dxa" w:w="4320"/>
          </w:tcPr>
          <w:p>
            <w:r>
              <w:t>出版年</w:t>
            </w:r>
          </w:p>
        </w:tc>
        <w:tc>
          <w:tcPr>
            <w:tcW w:type="dxa" w:w="4320"/>
          </w:tcPr>
          <w:p>
            <w:r>
              <w:t>2025 (vol. 647, pp. 698–705)</w:t>
            </w:r>
          </w:p>
        </w:tc>
      </w:tr>
      <w:tr>
        <w:tc>
          <w:tcPr>
            <w:tcW w:type="dxa" w:w="4320"/>
          </w:tcPr>
          <w:p>
            <w:r>
              <w:t>DOI</w:t>
            </w:r>
          </w:p>
        </w:tc>
        <w:tc>
          <w:tcPr>
            <w:tcW w:type="dxa" w:w="4320"/>
          </w:tcPr>
          <w:p>
            <w:r>
              <w:t>10.1038/s41586-025-09614-7</w:t>
            </w:r>
          </w:p>
        </w:tc>
      </w:tr>
      <w:tr>
        <w:tc>
          <w:tcPr>
            <w:tcW w:type="dxa" w:w="4320"/>
          </w:tcPr>
          <w:p>
            <w:r>
              <w:t>PMID</w:t>
            </w:r>
          </w:p>
        </w:tc>
        <w:tc>
          <w:tcPr>
            <w:tcW w:type="dxa" w:w="4320"/>
          </w:tcPr>
          <w:p>
            <w:r>
              <w:t>41094135</w:t>
            </w:r>
          </w:p>
        </w:tc>
      </w:tr>
      <w:tr>
        <w:tc>
          <w:tcPr>
            <w:tcW w:type="dxa" w:w="4320"/>
          </w:tcPr>
          <w:p>
            <w:r>
              <w:t>arXiv ID</w:t>
            </w:r>
          </w:p>
        </w:tc>
        <w:tc>
          <w:tcPr>
            <w:tcW w:type="dxa" w:w="4320"/>
          </w:tcPr>
          <w:p>
            <w:r>
              <w:t>N/A</w:t>
            </w:r>
          </w:p>
        </w:tc>
      </w:tr>
    </w:tbl>
    <w:p>
      <w:pPr>
        <w:pStyle w:val="Heading2"/>
      </w:pPr>
      <w:r>
        <w:t>背景・課題</w:t>
      </w:r>
    </w:p>
    <w:p>
      <w:r>
        <w:t>ヒト腸内には大量のバクテリオファージが存在し、特に温和性ファージ（プロファージ）は細菌の染色体に統合されて潜伏するが、その生態学的役割や宿主細菌への影響は未解明な部分が多かった。メタゲノム解析による多様性の把握は進んだ一方で、実験的に培養・単離されたヒト腸内温和性ファージの数は極めて少なく、宿主との相互作用の機能解析が困難であった。また、計算論的に予測されるプロファージの多くが実際に誘導可能かどうかも検証されていなかった。</w:t>
      </w:r>
    </w:p>
    <w:p>
      <w:pPr>
        <w:pStyle w:val="Heading2"/>
      </w:pPr>
      <w:r>
        <w:t>手法</w:t>
      </w:r>
    </w:p>
    <w:p>
      <w:r>
        <w:t>252株のヒト腸内細菌単離株に対して10種類の異なる誘導条件（紫外線照射・ミトマイシンC・抗生物質・ストレス条件等）を用いてプロファージの誘導を試みた。誘導されたファージはプラーク法で確認・精製し、ゲノム配列を決定してVirSorter2・PHROGsデータベースで分類した。さらに78メンバーからなる合成腸内マイクロバイオーム（sFMT）を構築し、ヒト結腸上皮細胞（Caco2）と共培養する系でファージ誘導を評価した。工学的改変として、単離ファージへのリコンビニアリングによる遺伝子導入も実施した。マウスコロニー化実験ではgerm-freeマウスに合成コミュニティを定着させ、ファージ感染による微生物群集構造・代謝への影響を解析した。</w:t>
      </w:r>
    </w:p>
    <w:p>
      <w:pPr>
        <w:pStyle w:val="Heading2"/>
      </w:pPr>
      <w:r>
        <w:t>結果</w:t>
      </w:r>
    </w:p>
    <w:p>
      <w:r>
        <w:t>252株の腸内細菌から計算予測されたプロファージのうち、純粋培養条件で実際に誘導できたのはわずか18%であった。10種の誘導条件を用いることで134個の誘導性プロファージを同定・単離した。これら134ファージのうち133個がCaudoviricetes目に分類され、1個がFaserviricetes目（糸状ファージ様）であった。78メンバーの合成コミュニティをCaco2細胞と共培養した系では、細菌の35%に相当するファージ種が誘導された。これはin vitro単培養での誘導率（18%）を大幅に上回り、腸内環境の模倣が誘導を促進することが示された。ファージ感染はマウス腸内の細菌群集組成を有意に変化させ、代謝産物プロファイルにも広範な影響を与えた。変化は宿主細菌の排除だけでは説明できない二次的・間接的効果を含むことが確認された。</w:t>
      </w:r>
    </w:p>
    <w:p>
      <w:pPr>
        <w:pStyle w:val="Heading2"/>
      </w:pPr>
      <w:r>
        <w:t>考察・新規性</w:t>
      </w:r>
    </w:p>
    <w:p>
      <w:r>
        <w:t>本研究はヒト腸内温和性ファージを大規模に培養・単離した初の研究であり、実験的に検証されたファージ–宿主ペアのデータベースを大幅に拡充した。計算予測との大きな乖離（18%の誘導率）は、メタゲノムデータのみに基づく機能予測の限界を示す。さらに宿主細胞との共培養という腸内環境の模倣が誘導率を倍増させるという知見は、腸内ファージ研究のゴールドスタンダードになりうる。ファージ感染が宿主細菌以外のコミュニティメンバーにも間接的影響を及ぼすことは、マイクロバイオーム介入設計において重要な含意をもつ。</w:t>
      </w:r>
    </w:p>
    <w:p>
      <w:pPr>
        <w:pStyle w:val="Heading2"/>
      </w:pPr>
      <w:r>
        <w:t>限界と今後の展望</w:t>
      </w:r>
    </w:p>
    <w:p>
      <w:r>
        <w:t>単離されたファージはあくまで培養可能な腸内細菌に由来するため、未培養の大多数の腸内細菌のファージは未解明のままである。今後は単離ファージを用いた治療的微生物叢改変（ファージカクテル設計）や、温和性ファージの転換によるコミュニティ崩壊メカニズムのさらなる解明が期待される。</w:t>
      </w:r>
    </w:p>
    <w:p>
      <w:pPr>
        <w:pStyle w:val="Heading2"/>
      </w:pPr>
      <w:r>
        <w:t>トピックへのインプリケーション（T1）</w:t>
      </w:r>
    </w:p>
    <w:p>
      <w:r>
        <w:t>培養可能な腸内温和性ファージの大規模ライブラリーは、精密なマイクロバイオーム改変ツールとして、IBD・代謝疾患・感染症に対するファージ療法の基盤となる。</w:t>
      </w:r>
    </w:p>
    <w:p>
      <w:r>
        <w:t>Metadata: PMID=41094135; DOI=10.1038/s41586-025-09614-7; topic=1; generated=2026-06-04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