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Start a DOOH Network</w:t>
      </w:r>
    </w:p>
    <w:p>
      <w:pPr>
        <w:pStyle w:val="Subtitle"/>
        <w:jc w:val="center"/>
      </w:pPr>
      <w:r>
        <w:t>Technology, CMS, ad serving, proof of play, measurement and operations</w:t>
      </w:r>
    </w:p>
    <w:p>
      <w:pPr>
        <w:jc w:val="center"/>
      </w:pPr>
      <w:r>
        <w:rPr>
          <w:b/>
        </w:rPr>
        <w:t>TomorrowOS cornerstone article package</w:t>
        <w:br/>
      </w:r>
      <w:r>
        <w:t>Publication-ready article + SEO metadata + Replit implementation prompt</w:t>
      </w:r>
    </w:p>
    <w:p/>
    <w:tbl>
      <w:tblPr>
        <w:tblW w:type="auto" w:w="0"/>
        <w:jc w:val="center"/>
        <w:tblLook w:firstColumn="1" w:firstRow="1" w:lastColumn="0" w:lastRow="0" w:noHBand="0" w:noVBand="1" w:val="04A0"/>
      </w:tblPr>
      <w:tblGrid>
        <w:gridCol w:w="10080"/>
      </w:tblGrid>
      <w:tr>
        <w:tc>
          <w:tcPr>
            <w:tcW w:type="dxa" w:w="10080"/>
            <w:shd w:fill="F3F4F6"/>
            <w:vAlign w:val="center"/>
          </w:tcPr>
          <w:p>
            <w:r>
              <w:rPr>
                <w:b/>
              </w:rPr>
              <w:t>Editorial objective</w:t>
              <w:br/>
            </w:r>
            <w:r>
              <w:t>Create the clearest practical guide for founders, media operators, venue networks and software teams researching how to launch a digital out-of-home network. The article teaches the full business and technology stack before positioning TomorrowOS as the reusable screen-infrastructure layer.</w:t>
            </w:r>
          </w:p>
        </w:tc>
      </w:tr>
    </w:tbl>
    <w:p/>
    <w:p>
      <w:pPr>
        <w:pStyle w:val="Heading1"/>
      </w:pPr>
      <w:r>
        <w:t>Publishing metadata</w:t>
      </w:r>
    </w:p>
    <w:tbl>
      <w:tblPr>
        <w:tblStyle w:val="TableGrid"/>
        <w:tblW w:type="auto" w:w="0"/>
        <w:jc w:val="center"/>
        <w:tblLook w:firstColumn="1" w:firstRow="1" w:lastColumn="0" w:lastRow="0" w:noHBand="0" w:noVBand="1" w:val="04A0"/>
      </w:tblPr>
      <w:tblGrid>
        <w:gridCol w:w="5040"/>
        <w:gridCol w:w="5040"/>
      </w:tblGrid>
      <w:tr>
        <w:tc>
          <w:tcPr>
            <w:tcW w:type="dxa" w:w="5040"/>
            <w:shd w:fill="F3F4F6"/>
          </w:tcPr>
          <w:p>
            <w:r>
              <w:rPr>
                <w:b/>
              </w:rPr>
              <w:t>Canonical URL</w:t>
            </w:r>
          </w:p>
        </w:tc>
        <w:tc>
          <w:tcPr>
            <w:tcW w:type="dxa" w:w="5040"/>
          </w:tcPr>
          <w:p>
            <w:r>
              <w:t>/how-to-start-a-dooh-network</w:t>
            </w:r>
          </w:p>
        </w:tc>
      </w:tr>
      <w:tr>
        <w:tc>
          <w:tcPr>
            <w:tcW w:type="dxa" w:w="5040"/>
            <w:shd w:fill="F3F4F6"/>
          </w:tcPr>
          <w:p>
            <w:r>
              <w:rPr>
                <w:b/>
              </w:rPr>
              <w:t>Meta title</w:t>
            </w:r>
          </w:p>
        </w:tc>
        <w:tc>
          <w:tcPr>
            <w:tcW w:type="dxa" w:w="5040"/>
          </w:tcPr>
          <w:p>
            <w:r>
              <w:t>How to Start a DOOH Network | TomorrowOS</w:t>
            </w:r>
          </w:p>
        </w:tc>
      </w:tr>
      <w:tr>
        <w:tc>
          <w:tcPr>
            <w:tcW w:type="dxa" w:w="5040"/>
            <w:shd w:fill="F3F4F6"/>
          </w:tcPr>
          <w:p>
            <w:r>
              <w:rPr>
                <w:b/>
              </w:rPr>
              <w:t>Meta description</w:t>
            </w:r>
          </w:p>
        </w:tc>
        <w:tc>
          <w:tcPr>
            <w:tcW w:type="dxa" w:w="5040"/>
          </w:tcPr>
          <w:p>
            <w:r>
              <w:t>Learn how to start a digital out-of-home network, including locations, screens, CMS software, ad serving, proof of play, measurement, sales and operations.</w:t>
            </w:r>
          </w:p>
        </w:tc>
      </w:tr>
      <w:tr>
        <w:tc>
          <w:tcPr>
            <w:tcW w:type="dxa" w:w="5040"/>
            <w:shd w:fill="F3F4F6"/>
          </w:tcPr>
          <w:p>
            <w:r>
              <w:rPr>
                <w:b/>
              </w:rPr>
              <w:t>H1</w:t>
            </w:r>
          </w:p>
        </w:tc>
        <w:tc>
          <w:tcPr>
            <w:tcW w:type="dxa" w:w="5040"/>
          </w:tcPr>
          <w:p>
            <w:r>
              <w:t>How to Start a DOOH Network</w:t>
            </w:r>
          </w:p>
        </w:tc>
      </w:tr>
      <w:tr>
        <w:tc>
          <w:tcPr>
            <w:tcW w:type="dxa" w:w="5040"/>
            <w:shd w:fill="F3F4F6"/>
          </w:tcPr>
          <w:p>
            <w:r>
              <w:rPr>
                <w:b/>
              </w:rPr>
              <w:t>Category</w:t>
            </w:r>
          </w:p>
        </w:tc>
        <w:tc>
          <w:tcPr>
            <w:tcW w:type="dxa" w:w="5040"/>
          </w:tcPr>
          <w:p>
            <w:r>
              <w:t>DOOH and Retail Media</w:t>
            </w:r>
          </w:p>
        </w:tc>
      </w:tr>
      <w:tr>
        <w:tc>
          <w:tcPr>
            <w:tcW w:type="dxa" w:w="5040"/>
            <w:shd w:fill="F3F4F6"/>
          </w:tcPr>
          <w:p>
            <w:r>
              <w:rPr>
                <w:b/>
              </w:rPr>
              <w:t>Author</w:t>
            </w:r>
          </w:p>
        </w:tc>
        <w:tc>
          <w:tcPr>
            <w:tcW w:type="dxa" w:w="5040"/>
          </w:tcPr>
          <w:p>
            <w:r>
              <w:t>TomorrowOS</w:t>
            </w:r>
          </w:p>
        </w:tc>
      </w:tr>
      <w:tr>
        <w:tc>
          <w:tcPr>
            <w:tcW w:type="dxa" w:w="5040"/>
            <w:shd w:fill="F3F4F6"/>
          </w:tcPr>
          <w:p>
            <w:r>
              <w:rPr>
                <w:b/>
              </w:rPr>
              <w:t>Target reading time</w:t>
            </w:r>
          </w:p>
        </w:tc>
        <w:tc>
          <w:tcPr>
            <w:tcW w:type="dxa" w:w="5040"/>
          </w:tcPr>
          <w:p>
            <w:r>
              <w:t>18-22 minutes</w:t>
            </w:r>
          </w:p>
        </w:tc>
      </w:tr>
      <w:tr>
        <w:tc>
          <w:tcPr>
            <w:tcW w:type="dxa" w:w="5040"/>
            <w:shd w:fill="F3F4F6"/>
          </w:tcPr>
          <w:p>
            <w:r>
              <w:rPr>
                <w:b/>
              </w:rPr>
              <w:t>Primary intent</w:t>
            </w:r>
          </w:p>
        </w:tc>
        <w:tc>
          <w:tcPr>
            <w:tcW w:type="dxa" w:w="5040"/>
          </w:tcPr>
          <w:p>
            <w:r>
              <w:t>Commercial investigation and practical education</w:t>
            </w:r>
          </w:p>
        </w:tc>
      </w:tr>
      <w:tr>
        <w:tc>
          <w:tcPr>
            <w:tcW w:type="dxa" w:w="5040"/>
            <w:shd w:fill="F3F4F6"/>
          </w:tcPr>
          <w:p>
            <w:r>
              <w:rPr>
                <w:b/>
              </w:rPr>
              <w:t>Primary query</w:t>
            </w:r>
          </w:p>
        </w:tc>
        <w:tc>
          <w:tcPr>
            <w:tcW w:type="dxa" w:w="5040"/>
          </w:tcPr>
          <w:p>
            <w:r>
              <w:t>how to start a DOOH network</w:t>
            </w:r>
          </w:p>
        </w:tc>
      </w:tr>
      <w:tr>
        <w:tc>
          <w:tcPr>
            <w:tcW w:type="dxa" w:w="5040"/>
            <w:shd w:fill="F3F4F6"/>
          </w:tcPr>
          <w:p>
            <w:r>
              <w:rPr>
                <w:b/>
              </w:rPr>
              <w:t>Secondary queries</w:t>
            </w:r>
          </w:p>
        </w:tc>
        <w:tc>
          <w:tcPr>
            <w:tcW w:type="dxa" w:w="5040"/>
          </w:tcPr>
          <w:p>
            <w:r>
              <w:t>DOOH CMS; digital out-of-home software; DOOH platform; proof of play; programmatic DOOH; build a DOOH network</w:t>
            </w:r>
          </w:p>
        </w:tc>
      </w:tr>
    </w:tbl>
    <w:p>
      <w:r>
        <w:br w:type="page"/>
      </w:r>
    </w:p>
    <w:p>
      <w:pPr>
        <w:pStyle w:val="Title"/>
        <w:jc w:val="left"/>
      </w:pPr>
      <w:r>
        <w:t>How to Start a DOOH Network</w:t>
      </w:r>
    </w:p>
    <w:p>
      <w:pPr>
        <w:pStyle w:val="Subtitle"/>
      </w:pPr>
      <w:r>
        <w:t>A practical guide to the business model, technology stack and operating systems required to build a digital out-of-home advertising network.</w:t>
      </w:r>
    </w:p>
    <w:p>
      <w:r>
        <w:t>Starting a digital out-of-home network can look straightforward from the outside: secure a location, install a screen, sell advertising and schedule campaigns. The difficult part is not making one screen display an advert. It is building a repeatable media business that can prove where campaigns ran, keep devices operating, manage inventory, support venues and scale without losing control of delivery.</w:t>
      </w:r>
    </w:p>
    <w:p>
      <w:r>
        <w:t>A DOOH network combines media, software, hardware, sales and field operations. The content management system is important, but it is only one layer. A dependable network also needs campaign management, inventory logic, ad-serving rules, proof of play, audience measurement, venue agreements, creative standards, billing and a reliable player runtime.</w:t>
      </w:r>
    </w:p>
    <w:p>
      <w:r>
        <w:t>This guide explains the full system, from selecting locations and designing the commercial model to choosing a CMS, recording proof of play and deciding whether programmatic buying belongs in the first version of the business.</w:t>
      </w:r>
    </w:p>
    <w:p>
      <w:r>
        <w:t>The opportunity is meaningful. In the United States, total out-of-home advertising revenue reached a record $9.46 billion in 2025, while digital out-of-home continued to be a major growth driver. Industry bodies are also investing heavily in measurement and programmatic standards, reflecting the need for clearer, more interoperable DOOH infrastructure.</w:t>
      </w:r>
    </w:p>
    <w:tbl>
      <w:tblPr>
        <w:tblW w:type="auto" w:w="0"/>
        <w:jc w:val="center"/>
        <w:tblLook w:firstColumn="1" w:firstRow="1" w:lastColumn="0" w:lastRow="0" w:noHBand="0" w:noVBand="1" w:val="04A0"/>
      </w:tblPr>
      <w:tblGrid>
        <w:gridCol w:w="10080"/>
      </w:tblGrid>
      <w:tr>
        <w:tc>
          <w:tcPr>
            <w:tcW w:type="dxa" w:w="10080"/>
            <w:shd w:fill="F3F4F6"/>
            <w:vAlign w:val="center"/>
          </w:tcPr>
          <w:p>
            <w:r>
              <w:rPr>
                <w:b/>
              </w:rPr>
              <w:t>Direct answer</w:t>
              <w:br/>
            </w:r>
            <w:r>
              <w:t>To start a DOOH network, first validate the audience and venue model, then deploy a small technically reliable pilot. Use a CMS for content and device operations, add campaign and inventory logic for advertising, record proof of play, establish a defensible measurement method and scale only after sales, support and reporting are repeatable.</w:t>
            </w:r>
          </w:p>
        </w:tc>
      </w:tr>
    </w:tbl>
    <w:p/>
    <w:p>
      <w:pPr>
        <w:pStyle w:val="CodeBlock"/>
      </w:pPr>
      <w:r>
        <w:t>1  Define the network model</w:t>
        <w:br/>
        <w:t>2  Secure locations and audience value</w:t>
        <w:br/>
        <w:t>3  Build the commercial model</w:t>
        <w:br/>
        <w:t>4  Assemble the technology stack</w:t>
        <w:br/>
        <w:t>5  Manage campaigns and inventory</w:t>
        <w:br/>
        <w:t>6  Prove delivery and measure audiences</w:t>
        <w:br/>
        <w:t>7  Operate, maintain and scale</w:t>
        <w:br/>
        <w:t>8  Decide where TomorrowOS fits</w:t>
      </w:r>
    </w:p>
    <w:p>
      <w:pPr>
        <w:pStyle w:val="Caption"/>
        <w:jc w:val="center"/>
      </w:pPr>
      <w:r>
        <w:t>The eight decisions that shape a DOOH network.</w:t>
      </w:r>
    </w:p>
    <w:p>
      <w:pPr>
        <w:pStyle w:val="Heading1"/>
      </w:pPr>
      <w:r>
        <w:t>What is a DOOH network?</w:t>
      </w:r>
    </w:p>
    <w:p>
      <w:r>
        <w:t>Digital out-of-home, usually shortened to DOOH, is advertising delivered through digital screens in shared physical environments outside a person’s home. The screen may be a large roadside display, a portrait panel in a shopping centre, a television inside a gym, a digital menu board, a display at a petrol station or a network of screens inside retail stores.</w:t>
      </w:r>
    </w:p>
    <w:p>
      <w:r>
        <w:t>A DOOH network is the combination of those screens, the locations that host them, the software used to manage them and the commercial system used to sell advertising inventory. The operator may own the hardware, share revenue with venues, license software to media owners or combine several models.</w:t>
      </w:r>
    </w:p>
    <w:p>
      <w:r>
        <w:t>The defining characteristic is not simply that the content is digital. The network is operated as advertising media. Campaigns have buyers, start and end dates, targeting rules, delivery requirements and reporting obligations.</w:t>
      </w:r>
    </w:p>
    <w:p>
      <w:pPr>
        <w:pStyle w:val="Heading2"/>
      </w:pPr>
      <w:r>
        <w:t>DOOH, digital signage and retail media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11827"/>
          </w:tcPr>
          <w:p>
            <w:r>
              <w:rPr>
                <w:b/>
                <w:color w:val="FFFFFF"/>
              </w:rPr>
              <w:t>Category</w:t>
            </w:r>
          </w:p>
        </w:tc>
        <w:tc>
          <w:tcPr>
            <w:tcW w:type="dxa" w:w="2520"/>
            <w:shd w:fill="111827"/>
          </w:tcPr>
          <w:p>
            <w:r>
              <w:rPr>
                <w:b/>
                <w:color w:val="FFFFFF"/>
              </w:rPr>
              <w:t>Primary purpose</w:t>
            </w:r>
          </w:p>
        </w:tc>
        <w:tc>
          <w:tcPr>
            <w:tcW w:type="dxa" w:w="2520"/>
            <w:shd w:fill="111827"/>
          </w:tcPr>
          <w:p>
            <w:r>
              <w:rPr>
                <w:b/>
                <w:color w:val="FFFFFF"/>
              </w:rPr>
              <w:t>Typical buyer</w:t>
            </w:r>
          </w:p>
        </w:tc>
        <w:tc>
          <w:tcPr>
            <w:tcW w:type="dxa" w:w="2520"/>
            <w:shd w:fill="111827"/>
          </w:tcPr>
          <w:p>
            <w:r>
              <w:rPr>
                <w:b/>
                <w:color w:val="FFFFFF"/>
              </w:rPr>
              <w:t>Core systems</w:t>
            </w:r>
          </w:p>
        </w:tc>
      </w:tr>
      <w:tr>
        <w:tc>
          <w:tcPr>
            <w:tcW w:type="dxa" w:w="2520"/>
          </w:tcPr>
          <w:p>
            <w:r>
              <w:t>Digital signage</w:t>
            </w:r>
          </w:p>
        </w:tc>
        <w:tc>
          <w:tcPr>
            <w:tcW w:type="dxa" w:w="2520"/>
          </w:tcPr>
          <w:p>
            <w:r>
              <w:t>Communicate information or promote the operator’s own products</w:t>
            </w:r>
          </w:p>
        </w:tc>
        <w:tc>
          <w:tcPr>
            <w:tcW w:type="dxa" w:w="2520"/>
          </w:tcPr>
          <w:p>
            <w:r>
              <w:t>Venue, brand or internal team</w:t>
            </w:r>
          </w:p>
        </w:tc>
        <w:tc>
          <w:tcPr>
            <w:tcW w:type="dxa" w:w="2520"/>
          </w:tcPr>
          <w:p>
            <w:r>
              <w:t>CMS, devices, schedules, playback</w:t>
            </w:r>
          </w:p>
        </w:tc>
      </w:tr>
      <w:tr>
        <w:tc>
          <w:tcPr>
            <w:tcW w:type="dxa" w:w="2520"/>
          </w:tcPr>
          <w:p>
            <w:r>
              <w:t>DOOH</w:t>
            </w:r>
          </w:p>
        </w:tc>
        <w:tc>
          <w:tcPr>
            <w:tcW w:type="dxa" w:w="2520"/>
          </w:tcPr>
          <w:p>
            <w:r>
              <w:t>Sell access to audiences in public or commercial places</w:t>
            </w:r>
          </w:p>
        </w:tc>
        <w:tc>
          <w:tcPr>
            <w:tcW w:type="dxa" w:w="2520"/>
          </w:tcPr>
          <w:p>
            <w:r>
              <w:t>Advertiser, agency or programmatic buyer</w:t>
            </w:r>
          </w:p>
        </w:tc>
        <w:tc>
          <w:tcPr>
            <w:tcW w:type="dxa" w:w="2520"/>
          </w:tcPr>
          <w:p>
            <w:r>
              <w:t>CMS, campaign system, inventory, proof of play, measurement</w:t>
            </w:r>
          </w:p>
        </w:tc>
      </w:tr>
      <w:tr>
        <w:tc>
          <w:tcPr>
            <w:tcW w:type="dxa" w:w="2520"/>
          </w:tcPr>
          <w:p>
            <w:r>
              <w:t>Retail media</w:t>
            </w:r>
          </w:p>
        </w:tc>
        <w:tc>
          <w:tcPr>
            <w:tcW w:type="dxa" w:w="2520"/>
          </w:tcPr>
          <w:p>
            <w:r>
              <w:t>Monetise retailer-owned audiences and placements close to purchase</w:t>
            </w:r>
          </w:p>
        </w:tc>
        <w:tc>
          <w:tcPr>
            <w:tcW w:type="dxa" w:w="2520"/>
          </w:tcPr>
          <w:p>
            <w:r>
              <w:t>Brands sold through the retailer</w:t>
            </w:r>
          </w:p>
        </w:tc>
        <w:tc>
          <w:tcPr>
            <w:tcW w:type="dxa" w:w="2520"/>
          </w:tcPr>
          <w:p>
            <w:r>
              <w:t>DOOH stack plus retailer data, sales and attribution</w:t>
            </w:r>
          </w:p>
        </w:tc>
      </w:tr>
      <w:tr>
        <w:tc>
          <w:tcPr>
            <w:tcW w:type="dxa" w:w="2520"/>
          </w:tcPr>
          <w:p>
            <w:r>
              <w:t>Place-based media</w:t>
            </w:r>
          </w:p>
        </w:tc>
        <w:tc>
          <w:tcPr>
            <w:tcW w:type="dxa" w:w="2520"/>
          </w:tcPr>
          <w:p>
            <w:r>
              <w:t>Reach an audience defined by a specific environment</w:t>
            </w:r>
          </w:p>
        </w:tc>
        <w:tc>
          <w:tcPr>
            <w:tcW w:type="dxa" w:w="2520"/>
          </w:tcPr>
          <w:p>
            <w:r>
              <w:t>Advertisers relevant to the venue context</w:t>
            </w:r>
          </w:p>
        </w:tc>
        <w:tc>
          <w:tcPr>
            <w:tcW w:type="dxa" w:w="2520"/>
          </w:tcPr>
          <w:p>
            <w:r>
              <w:t>DOOH stack tailored to gyms, clinics, lifts, campuses or similar venues</w:t>
            </w:r>
          </w:p>
        </w:tc>
      </w:tr>
    </w:tbl>
    <w:tbl>
      <w:tblPr>
        <w:tblW w:type="auto" w:w="0"/>
        <w:jc w:val="center"/>
        <w:tblLook w:firstColumn="1" w:firstRow="1" w:lastColumn="0" w:lastRow="0" w:noHBand="0" w:noVBand="1" w:val="04A0"/>
      </w:tblPr>
      <w:tblGrid>
        <w:gridCol w:w="10080"/>
      </w:tblGrid>
      <w:tr>
        <w:tc>
          <w:tcPr>
            <w:tcW w:type="dxa" w:w="10080"/>
            <w:shd w:fill="F3F4F6"/>
            <w:vAlign w:val="center"/>
          </w:tcPr>
          <w:p>
            <w:r>
              <w:rPr>
                <w:b/>
              </w:rPr>
              <w:t>Key distinction</w:t>
              <w:br/>
            </w:r>
            <w:r>
              <w:t>A signage CMS answers what a screen should play. A DOOH platform must also answer what inventory is available, who bought it, how the campaign should pace and what evidence proves delivery.</w:t>
            </w:r>
          </w:p>
        </w:tc>
      </w:tr>
    </w:tbl>
    <w:p/>
    <w:p>
      <w:pPr>
        <w:pStyle w:val="Heading1"/>
      </w:pPr>
      <w:r>
        <w:t>1. Choose the network model</w:t>
      </w:r>
    </w:p>
    <w:p>
      <w:r>
        <w:t>Before selecting software or screens, define which business you are actually building. Different models require different contracts, economics and technology.</w:t>
      </w:r>
    </w:p>
    <w:p>
      <w:pPr>
        <w:pStyle w:val="Heading2"/>
      </w:pPr>
      <w:r>
        <w:t>Owned-and-operated network</w:t>
      </w:r>
    </w:p>
    <w:p>
      <w:r>
        <w:t>You own or control the screens and sell the advertising directly. This gives the greatest control over hardware, pricing and operations, but also carries the full capital and support burden.</w:t>
      </w:r>
    </w:p>
    <w:p>
      <w:pPr>
        <w:pStyle w:val="Heading2"/>
      </w:pPr>
      <w:r>
        <w:t>Venue partnership network</w:t>
      </w:r>
    </w:p>
    <w:p>
      <w:r>
        <w:t>You place screens in third-party venues in return for advertising rights, a fixed fee, a service exchange or revenue share. The agreement must define who pays for hardware, electricity, connectivity, maintenance and content.</w:t>
      </w:r>
    </w:p>
    <w:p>
      <w:pPr>
        <w:pStyle w:val="Heading2"/>
      </w:pPr>
      <w:r>
        <w:t>Software platform</w:t>
      </w:r>
    </w:p>
    <w:p>
      <w:r>
        <w:t>You provide the CMS, player, campaign tools or reporting system to existing media owners. The customer controls the audience and commercial inventory while you sell technology.</w:t>
      </w:r>
    </w:p>
    <w:p>
      <w:pPr>
        <w:pStyle w:val="Heading2"/>
      </w:pPr>
      <w:r>
        <w:t>Retail media network</w:t>
      </w:r>
    </w:p>
    <w:p>
      <w:r>
        <w:t>A retailer monetises screens and other placements across its own stores. The value proposition can combine first-party data, proximity to purchase and sales attribution.</w:t>
      </w:r>
    </w:p>
    <w:p>
      <w:pPr>
        <w:pStyle w:val="Heading2"/>
      </w:pPr>
      <w:r>
        <w:t>Marketplace or programmatic network</w:t>
      </w:r>
    </w:p>
    <w:p>
      <w:r>
        <w:t>You connect inventory to automated buying platforms. This can widen demand, but it adds technical standards, quality controls, fees and reporting reconciliation.</w:t>
      </w:r>
    </w:p>
    <w:tbl>
      <w:tblPr>
        <w:tblW w:type="auto" w:w="0"/>
        <w:jc w:val="center"/>
        <w:tblLook w:firstColumn="1" w:firstRow="1" w:lastColumn="0" w:lastRow="0" w:noHBand="0" w:noVBand="1" w:val="04A0"/>
      </w:tblPr>
      <w:tblGrid>
        <w:gridCol w:w="10080"/>
      </w:tblGrid>
      <w:tr>
        <w:tc>
          <w:tcPr>
            <w:tcW w:type="dxa" w:w="10080"/>
            <w:shd w:fill="F3F4F6"/>
            <w:vAlign w:val="center"/>
          </w:tcPr>
          <w:p>
            <w:r>
              <w:rPr>
                <w:b/>
              </w:rPr>
              <w:t>Practical guidance</w:t>
              <w:br/>
            </w:r>
            <w:r>
              <w:t>Do not design for every model in version one. A ten-screen venue partnership pilot and a programmatic marketplace are different businesses. Choose one primary model and make its operations repeatable first.</w:t>
            </w:r>
          </w:p>
        </w:tc>
      </w:tr>
    </w:tbl>
    <w:p/>
    <w:p>
      <w:pPr>
        <w:pStyle w:val="Heading1"/>
      </w:pPr>
      <w:r>
        <w:t>2. Select locations and define the audience</w:t>
      </w:r>
    </w:p>
    <w:p>
      <w:r>
        <w:t>A screen is not valuable because it exists. Its media value comes from the audience, the environment, the likelihood of attention and the operator’s ability to demonstrate delivery.</w:t>
      </w:r>
    </w:p>
    <w:p>
      <w:r>
        <w:t>A technically perfect network in weak locations will struggle commercially. A strong audience proposition can make even a modest network attractive to advertisers.</w:t>
      </w:r>
    </w:p>
    <w:p>
      <w:pPr>
        <w:pStyle w:val="ListBullet"/>
      </w:pPr>
      <w:r>
        <w:t>Foot traffic or vehicle traffic relevant to the format.</w:t>
      </w:r>
    </w:p>
    <w:p>
      <w:pPr>
        <w:pStyle w:val="ListBullet"/>
      </w:pPr>
      <w:r>
        <w:t>Dwell time and the likelihood that people can see the screen.</w:t>
      </w:r>
    </w:p>
    <w:p>
      <w:pPr>
        <w:pStyle w:val="ListBullet"/>
      </w:pPr>
      <w:r>
        <w:t>Viewing distance, angle, brightness and physical obstruction.</w:t>
      </w:r>
    </w:p>
    <w:p>
      <w:pPr>
        <w:pStyle w:val="ListBullet"/>
      </w:pPr>
      <w:r>
        <w:t>Audience context, such as fitness, healthcare, transport, retail or hospitality.</w:t>
      </w:r>
    </w:p>
    <w:p>
      <w:pPr>
        <w:pStyle w:val="ListBullet"/>
      </w:pPr>
      <w:r>
        <w:t>Operating hours and the number of genuinely viewable advertising opportunities.</w:t>
      </w:r>
    </w:p>
    <w:p>
      <w:pPr>
        <w:pStyle w:val="ListBullet"/>
      </w:pPr>
      <w:r>
        <w:t>Category relevance for likely advertisers.</w:t>
      </w:r>
    </w:p>
    <w:p>
      <w:pPr>
        <w:pStyle w:val="ListBullet"/>
      </w:pPr>
      <w:r>
        <w:t>Exclusivity and competing screens inside the venue.</w:t>
      </w:r>
    </w:p>
    <w:p>
      <w:pPr>
        <w:pStyle w:val="ListBullet"/>
      </w:pPr>
      <w:r>
        <w:t>Whether venue rules restrict alcohol, gambling, political, healthcare or competitor advertising.</w:t>
      </w:r>
    </w:p>
    <w:p>
      <w:pPr>
        <w:pStyle w:val="ListBullet"/>
      </w:pPr>
      <w:r>
        <w:t>Whether the audience can be measured credibly without creating unnecessary privacy risk.</w:t>
      </w:r>
    </w:p>
    <w:p>
      <w:pPr>
        <w:pStyle w:val="Heading2"/>
      </w:pPr>
      <w:r>
        <w:t>Venue agreements</w:t>
      </w:r>
    </w:p>
    <w:p>
      <w:r>
        <w:t>The venue agreement should be treated as a core media asset, not an informal installation permission. It should define the site rights, term, renewal, screen placement, access, revenue share, content rights, maintenance responsibilities, relocation, connectivity, approval rules and what happens when equipment fails or the relationship ends.</w:t>
      </w:r>
    </w:p>
    <w:p>
      <w:pPr>
        <w:pStyle w:val="Heading1"/>
      </w:pPr>
      <w:r>
        <w:t>3. Build the commercial model</w:t>
      </w:r>
    </w:p>
    <w:p>
      <w:r>
        <w:t>The commercial model must account for both the cost of installing a network and the ongoing cost of operating it. Revenue can look attractive before support, venue payments, programmatic fees and sales costs are included.</w:t>
      </w:r>
    </w:p>
    <w:p>
      <w:pPr>
        <w:pStyle w:val="Heading2"/>
      </w:pPr>
      <w:r>
        <w:t>Typical cost categories</w:t>
      </w:r>
    </w:p>
    <w:p>
      <w:pPr>
        <w:pStyle w:val="ListBullet"/>
      </w:pPr>
      <w:r>
        <w:t>Displays, media players, mounts and installation.</w:t>
      </w:r>
    </w:p>
    <w:p>
      <w:pPr>
        <w:pStyle w:val="ListBullet"/>
      </w:pPr>
      <w:r>
        <w:t>Connectivity, power and local storage.</w:t>
      </w:r>
    </w:p>
    <w:p>
      <w:pPr>
        <w:pStyle w:val="ListBullet"/>
      </w:pPr>
      <w:r>
        <w:t>CMS, ad-serving and reporting software.</w:t>
      </w:r>
    </w:p>
    <w:p>
      <w:pPr>
        <w:pStyle w:val="ListBullet"/>
      </w:pPr>
      <w:r>
        <w:t>Content operations and creative review.</w:t>
      </w:r>
    </w:p>
    <w:p>
      <w:pPr>
        <w:pStyle w:val="ListBullet"/>
      </w:pPr>
      <w:r>
        <w:t>Field maintenance and replacement hardware.</w:t>
      </w:r>
    </w:p>
    <w:p>
      <w:pPr>
        <w:pStyle w:val="ListBullet"/>
      </w:pPr>
      <w:r>
        <w:t>Venue fees or revenue share.</w:t>
      </w:r>
    </w:p>
    <w:p>
      <w:pPr>
        <w:pStyle w:val="ListBullet"/>
      </w:pPr>
      <w:r>
        <w:t>Sales commissions and agency fees.</w:t>
      </w:r>
    </w:p>
    <w:p>
      <w:pPr>
        <w:pStyle w:val="ListBullet"/>
      </w:pPr>
      <w:r>
        <w:t>Programmatic supply-side, marketplace and data fees.</w:t>
      </w:r>
    </w:p>
    <w:p>
      <w:pPr>
        <w:pStyle w:val="ListBullet"/>
      </w:pPr>
      <w:r>
        <w:t>Audience measurement and attribution.</w:t>
      </w:r>
    </w:p>
    <w:p>
      <w:pPr>
        <w:pStyle w:val="ListBullet"/>
      </w:pPr>
      <w:r>
        <w:t>Insurance, legal and compliance costs.</w:t>
      </w:r>
    </w:p>
    <w:p>
      <w:pPr>
        <w:pStyle w:val="Heading2"/>
      </w:pPr>
      <w:r>
        <w:t>Common revenue models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1827"/>
          </w:tcPr>
          <w:p>
            <w:r>
              <w:rPr>
                <w:b/>
                <w:color w:val="FFFFFF"/>
              </w:rPr>
              <w:t>Model</w:t>
            </w:r>
          </w:p>
        </w:tc>
        <w:tc>
          <w:tcPr>
            <w:tcW w:type="dxa" w:w="3360"/>
            <w:shd w:fill="111827"/>
          </w:tcPr>
          <w:p>
            <w:r>
              <w:rPr>
                <w:b/>
                <w:color w:val="FFFFFF"/>
              </w:rPr>
              <w:t>How it works</w:t>
            </w:r>
          </w:p>
        </w:tc>
        <w:tc>
          <w:tcPr>
            <w:tcW w:type="dxa" w:w="3360"/>
            <w:shd w:fill="111827"/>
          </w:tcPr>
          <w:p>
            <w:r>
              <w:rPr>
                <w:b/>
                <w:color w:val="FFFFFF"/>
              </w:rPr>
              <w:t>Operational implication</w:t>
            </w:r>
          </w:p>
        </w:tc>
      </w:tr>
      <w:tr>
        <w:tc>
          <w:tcPr>
            <w:tcW w:type="dxa" w:w="3360"/>
          </w:tcPr>
          <w:p>
            <w:r>
              <w:t>Fixed placement</w:t>
            </w:r>
          </w:p>
        </w:tc>
        <w:tc>
          <w:tcPr>
            <w:tcW w:type="dxa" w:w="3360"/>
          </w:tcPr>
          <w:p>
            <w:r>
              <w:t>Advertiser buys a defined screen package for a period</w:t>
            </w:r>
          </w:p>
        </w:tc>
        <w:tc>
          <w:tcPr>
            <w:tcW w:type="dxa" w:w="3360"/>
          </w:tcPr>
          <w:p>
            <w:r>
              <w:t>Simple to sell and report, but less flexible</w:t>
            </w:r>
          </w:p>
        </w:tc>
      </w:tr>
      <w:tr>
        <w:tc>
          <w:tcPr>
            <w:tcW w:type="dxa" w:w="3360"/>
          </w:tcPr>
          <w:p>
            <w:r>
              <w:t>Share of voice</w:t>
            </w:r>
          </w:p>
        </w:tc>
        <w:tc>
          <w:tcPr>
            <w:tcW w:type="dxa" w:w="3360"/>
          </w:tcPr>
          <w:p>
            <w:r>
              <w:t>Advertiser buys a percentage of available loop time</w:t>
            </w:r>
          </w:p>
        </w:tc>
        <w:tc>
          <w:tcPr>
            <w:tcW w:type="dxa" w:w="3360"/>
          </w:tcPr>
          <w:p>
            <w:r>
              <w:t>Requires accurate loop and inventory calculations</w:t>
            </w:r>
          </w:p>
        </w:tc>
      </w:tr>
      <w:tr>
        <w:tc>
          <w:tcPr>
            <w:tcW w:type="dxa" w:w="3360"/>
          </w:tcPr>
          <w:p>
            <w:r>
              <w:t>Campaign package</w:t>
            </w:r>
          </w:p>
        </w:tc>
        <w:tc>
          <w:tcPr>
            <w:tcW w:type="dxa" w:w="3360"/>
          </w:tcPr>
          <w:p>
            <w:r>
              <w:t>Screens, dates, creative and reporting bundled together</w:t>
            </w:r>
          </w:p>
        </w:tc>
        <w:tc>
          <w:tcPr>
            <w:tcW w:type="dxa" w:w="3360"/>
          </w:tcPr>
          <w:p>
            <w:r>
              <w:t>Useful for direct sales and local advertisers</w:t>
            </w:r>
          </w:p>
        </w:tc>
      </w:tr>
      <w:tr>
        <w:tc>
          <w:tcPr>
            <w:tcW w:type="dxa" w:w="3360"/>
          </w:tcPr>
          <w:p>
            <w:r>
              <w:t>CPM or impression-based</w:t>
            </w:r>
          </w:p>
        </w:tc>
        <w:tc>
          <w:tcPr>
            <w:tcW w:type="dxa" w:w="3360"/>
          </w:tcPr>
          <w:p>
            <w:r>
              <w:t>Buyer pays against estimated or delivered impressions</w:t>
            </w:r>
          </w:p>
        </w:tc>
        <w:tc>
          <w:tcPr>
            <w:tcW w:type="dxa" w:w="3360"/>
          </w:tcPr>
          <w:p>
            <w:r>
              <w:t>Requires defensible audience methodology</w:t>
            </w:r>
          </w:p>
        </w:tc>
      </w:tr>
      <w:tr>
        <w:tc>
          <w:tcPr>
            <w:tcW w:type="dxa" w:w="3360"/>
          </w:tcPr>
          <w:p>
            <w:r>
              <w:t>Programmatic CPM</w:t>
            </w:r>
          </w:p>
        </w:tc>
        <w:tc>
          <w:tcPr>
            <w:tcW w:type="dxa" w:w="3360"/>
          </w:tcPr>
          <w:p>
            <w:r>
              <w:t>Automated buyer competes for eligible inventory</w:t>
            </w:r>
          </w:p>
        </w:tc>
        <w:tc>
          <w:tcPr>
            <w:tcW w:type="dxa" w:w="3360"/>
          </w:tcPr>
          <w:p>
            <w:r>
              <w:t>Adds integrations, fees, controls and reconciliation</w:t>
            </w:r>
          </w:p>
        </w:tc>
      </w:tr>
      <w:tr>
        <w:tc>
          <w:tcPr>
            <w:tcW w:type="dxa" w:w="3360"/>
          </w:tcPr>
          <w:p>
            <w:r>
              <w:t>Sponsorship</w:t>
            </w:r>
          </w:p>
        </w:tc>
        <w:tc>
          <w:tcPr>
            <w:tcW w:type="dxa" w:w="3360"/>
          </w:tcPr>
          <w:p>
            <w:r>
              <w:t>Brand owns a location, category or recurring content segment</w:t>
            </w:r>
          </w:p>
        </w:tc>
        <w:tc>
          <w:tcPr>
            <w:tcW w:type="dxa" w:w="3360"/>
          </w:tcPr>
          <w:p>
            <w:r>
              <w:t>High value but may restrict other sales</w:t>
            </w:r>
          </w:p>
        </w:tc>
      </w:tr>
      <w:tr>
        <w:tc>
          <w:tcPr>
            <w:tcW w:type="dxa" w:w="3360"/>
          </w:tcPr>
          <w:p>
            <w:r>
              <w:t>Venue-funded content</w:t>
            </w:r>
          </w:p>
        </w:tc>
        <w:tc>
          <w:tcPr>
            <w:tcW w:type="dxa" w:w="3360"/>
          </w:tcPr>
          <w:p>
            <w:r>
              <w:t>Venue pays for the communication service while advertising offsets cost</w:t>
            </w:r>
          </w:p>
        </w:tc>
        <w:tc>
          <w:tcPr>
            <w:tcW w:type="dxa" w:w="3360"/>
          </w:tcPr>
          <w:p>
            <w:r>
              <w:t>Creates hybrid signage and media economics</w:t>
            </w:r>
          </w:p>
        </w:tc>
      </w:tr>
    </w:tbl>
    <w:tbl>
      <w:tblPr>
        <w:tblW w:type="auto" w:w="0"/>
        <w:jc w:val="center"/>
        <w:tblLook w:firstColumn="1" w:firstRow="1" w:lastColumn="0" w:lastRow="0" w:noHBand="0" w:noVBand="1" w:val="04A0"/>
      </w:tblPr>
      <w:tblGrid>
        <w:gridCol w:w="10080"/>
      </w:tblGrid>
      <w:tr>
        <w:tc>
          <w:tcPr>
            <w:tcW w:type="dxa" w:w="10080"/>
            <w:shd w:fill="F3F4F6"/>
            <w:vAlign w:val="center"/>
          </w:tcPr>
          <w:p>
            <w:r>
              <w:rPr>
                <w:b/>
              </w:rPr>
              <w:t>Do not assume passive income</w:t>
              <w:br/>
            </w:r>
            <w:r>
              <w:t>Screens create inventory, not demand. A network still needs sales, campaign operations, advertiser service, reporting and maintenance. Programmatic access does not guarantee fill or profitable pricing.</w:t>
            </w:r>
          </w:p>
        </w:tc>
      </w:tr>
    </w:tbl>
    <w:p/>
    <w:p>
      <w:pPr>
        <w:pStyle w:val="Heading1"/>
      </w:pPr>
      <w:r>
        <w:t>4. Assemble the DOOH technology stack</w:t>
      </w:r>
    </w:p>
    <w:p>
      <w:r>
        <w:t>The content management system is essential, but it is not the entire DOOH platform. A scalable network separates the customer-facing commercial systems from the device and playback infrastructure beneath them.</w:t>
      </w:r>
    </w:p>
    <w:p>
      <w:pPr>
        <w:pStyle w:val="CodeBlock"/>
      </w:pPr>
      <w:r>
        <w:t>Advertisers and agencies</w:t>
        <w:br/>
        <w:t xml:space="preserve">          │</w:t>
        <w:br/>
        <w:t xml:space="preserve">          ▼</w:t>
        <w:br/>
        <w:t>Sales, proposals and campaign management</w:t>
        <w:br/>
        <w:t xml:space="preserve">          │</w:t>
        <w:br/>
        <w:t xml:space="preserve">          ▼</w:t>
        <w:br/>
        <w:t>Ad server and decision engine</w:t>
        <w:br/>
        <w:t xml:space="preserve">   ┌──────┼──────────┐</w:t>
        <w:br/>
        <w:t xml:space="preserve">   ▼      ▼          ▼</w:t>
        <w:br/>
        <w:t>Inventory Targeting  Pacing</w:t>
        <w:br/>
        <w:t xml:space="preserve">          │</w:t>
        <w:br/>
        <w:t xml:space="preserve">          ▼</w:t>
        <w:br/>
        <w:t>Digital signage CMS and policy layer</w:t>
        <w:br/>
        <w:t xml:space="preserve">          │</w:t>
        <w:br/>
        <w:t xml:space="preserve">          ▼</w:t>
        <w:br/>
        <w:t>Player runtime, local storage and playback</w:t>
        <w:br/>
        <w:t xml:space="preserve">          │</w:t>
        <w:br/>
        <w:t xml:space="preserve">          ▼</w:t>
        <w:br/>
        <w:t>Screens and venues</w:t>
        <w:br/>
        <w:t xml:space="preserve">          │</w:t>
        <w:br/>
        <w:t xml:space="preserve">          ▼</w:t>
        <w:br/>
        <w:t>Proof of play, reporting and measurement</w:t>
      </w:r>
    </w:p>
    <w:p>
      <w:pPr>
        <w:pStyle w:val="Caption"/>
        <w:jc w:val="center"/>
      </w:pPr>
      <w:r>
        <w:t>A DOOH network combines commercial systems with reliable screen infrastructure.</w:t>
      </w:r>
    </w:p>
    <w:p>
      <w:pPr>
        <w:pStyle w:val="Heading2"/>
      </w:pPr>
      <w:r>
        <w:t>CMS</w:t>
      </w:r>
    </w:p>
    <w:p>
      <w:r>
        <w:t>Manages screens, media, playlists, schedules, device health and venue content.</w:t>
      </w:r>
    </w:p>
    <w:p>
      <w:pPr>
        <w:pStyle w:val="Heading2"/>
      </w:pPr>
      <w:r>
        <w:t>Campaign management</w:t>
      </w:r>
    </w:p>
    <w:p>
      <w:r>
        <w:t>Stores advertisers, campaigns, creatives, budgets, dates, approvals and delivery requirements.</w:t>
      </w:r>
    </w:p>
    <w:p>
      <w:pPr>
        <w:pStyle w:val="Heading2"/>
      </w:pPr>
      <w:r>
        <w:t>Ad server or decision engine</w:t>
      </w:r>
    </w:p>
    <w:p>
      <w:r>
        <w:t>Determines which eligible advert should play, balancing targeting, pacing, priority and availability.</w:t>
      </w:r>
    </w:p>
    <w:p>
      <w:pPr>
        <w:pStyle w:val="Heading2"/>
      </w:pPr>
      <w:r>
        <w:t>Inventory system</w:t>
      </w:r>
    </w:p>
    <w:p>
      <w:r>
        <w:t>Represents the advertising opportunities available across screens, venues, dayparts and packages.</w:t>
      </w:r>
    </w:p>
    <w:p>
      <w:pPr>
        <w:pStyle w:val="Heading2"/>
      </w:pPr>
      <w:r>
        <w:t>Proof of play</w:t>
      </w:r>
    </w:p>
    <w:p>
      <w:r>
        <w:t>Records what actually played, where, when and for how long.</w:t>
      </w:r>
    </w:p>
    <w:p>
      <w:pPr>
        <w:pStyle w:val="Heading2"/>
      </w:pPr>
      <w:r>
        <w:t>Audience measurement</w:t>
      </w:r>
    </w:p>
    <w:p>
      <w:r>
        <w:t>Estimates reach, impressions, frequency or other audience outcomes using a defined methodology.</w:t>
      </w:r>
    </w:p>
    <w:p>
      <w:pPr>
        <w:pStyle w:val="Heading2"/>
      </w:pPr>
      <w:r>
        <w:t>Programmatic integration</w:t>
      </w:r>
    </w:p>
    <w:p>
      <w:r>
        <w:t>Connects eligible inventory to automated demand through standardised buying and selling systems.</w:t>
      </w:r>
    </w:p>
    <w:p>
      <w:pPr>
        <w:pStyle w:val="Heading2"/>
      </w:pPr>
      <w:r>
        <w:t>Billing and reconciliation</w:t>
      </w:r>
    </w:p>
    <w:p>
      <w:r>
        <w:t>Converts booked and delivered campaigns into invoices, credits, make-goods and financial records.</w:t>
      </w:r>
    </w:p>
    <w:p>
      <w:pPr>
        <w:pStyle w:val="Heading2"/>
      </w:pPr>
      <w:r>
        <w:t>Device runtime</w:t>
      </w:r>
    </w:p>
    <w:p>
      <w:r>
        <w:t>Downloads content, stores it locally, plays it according to policy, reports health and recovers from failures.</w:t>
      </w:r>
    </w:p>
    <w:p>
      <w:pPr>
        <w:pStyle w:val="Heading1"/>
      </w:pPr>
      <w:r>
        <w:t>5. What the DOOH CMS must provide</w:t>
      </w:r>
    </w:p>
    <w:p>
      <w:r>
        <w:t>A conventional signage CMS can provide much of the screen-management foundation, but a DOOH network needs stronger campaign, approval and evidence workflows.</w:t>
      </w:r>
    </w:p>
    <w:p>
      <w:pPr>
        <w:pStyle w:val="ListBullet"/>
      </w:pPr>
      <w:r>
        <w:t>Screen, venue, location and group management.</w:t>
      </w:r>
    </w:p>
    <w:p>
      <w:pPr>
        <w:pStyle w:val="ListBullet"/>
      </w:pPr>
      <w:r>
        <w:t>Media upload, validation, versioning and creative approval.</w:t>
      </w:r>
    </w:p>
    <w:p>
      <w:pPr>
        <w:pStyle w:val="ListBullet"/>
      </w:pPr>
      <w:r>
        <w:t>Playlist and policy management.</w:t>
      </w:r>
    </w:p>
    <w:p>
      <w:pPr>
        <w:pStyle w:val="ListBullet"/>
      </w:pPr>
      <w:r>
        <w:t>Campaign start, end, daypart and targeting rules.</w:t>
      </w:r>
    </w:p>
    <w:p>
      <w:pPr>
        <w:pStyle w:val="ListBullet"/>
      </w:pPr>
      <w:r>
        <w:t>Local caching and offline playback.</w:t>
      </w:r>
    </w:p>
    <w:p>
      <w:pPr>
        <w:pStyle w:val="ListBullet"/>
      </w:pPr>
      <w:r>
        <w:t>Fallback content for unsold inventory or outages.</w:t>
      </w:r>
    </w:p>
    <w:p>
      <w:pPr>
        <w:pStyle w:val="ListBullet"/>
      </w:pPr>
      <w:r>
        <w:t>Venue content mixed with paid advertising.</w:t>
      </w:r>
    </w:p>
    <w:p>
      <w:pPr>
        <w:pStyle w:val="ListBullet"/>
      </w:pPr>
      <w:r>
        <w:t>Role-based permissions for operators, venues and advertisers.</w:t>
      </w:r>
    </w:p>
    <w:p>
      <w:pPr>
        <w:pStyle w:val="ListBullet"/>
      </w:pPr>
      <w:r>
        <w:t>Playback logs and device telemetry.</w:t>
      </w:r>
    </w:p>
    <w:p>
      <w:pPr>
        <w:pStyle w:val="ListBullet"/>
      </w:pPr>
      <w:r>
        <w:t>Remote diagnostics, screenshots and commands where supported.</w:t>
      </w:r>
    </w:p>
    <w:p>
      <w:pPr>
        <w:pStyle w:val="ListBullet"/>
      </w:pPr>
      <w:r>
        <w:t>Clear handling of expired, rejected or withdrawn creatives.</w:t>
      </w:r>
    </w:p>
    <w:tbl>
      <w:tblPr>
        <w:tblW w:type="auto" w:w="0"/>
        <w:jc w:val="center"/>
        <w:tblLook w:firstColumn="1" w:firstRow="1" w:lastColumn="0" w:lastRow="0" w:noHBand="0" w:noVBand="1" w:val="04A0"/>
      </w:tblPr>
      <w:tblGrid>
        <w:gridCol w:w="10080"/>
      </w:tblGrid>
      <w:tr>
        <w:tc>
          <w:tcPr>
            <w:tcW w:type="dxa" w:w="10080"/>
            <w:shd w:fill="F3F4F6"/>
            <w:vAlign w:val="center"/>
          </w:tcPr>
          <w:p>
            <w:r>
              <w:rPr>
                <w:b/>
              </w:rPr>
              <w:t>CMS versus ad server</w:t>
              <w:br/>
            </w:r>
            <w:r>
              <w:t>The CMS manages what the screens can play. The ad-serving layer decides which campaign should use each advertising opportunity. Small networks may combine these functions initially, but the responsibilities should remain conceptually separate.</w:t>
            </w:r>
          </w:p>
        </w:tc>
      </w:tr>
    </w:tbl>
    <w:p/>
    <w:p>
      <w:pPr>
        <w:pStyle w:val="Heading1"/>
      </w:pPr>
      <w:r>
        <w:t>6. Design campaign and ad-serving logic</w:t>
      </w:r>
    </w:p>
    <w:p>
      <w:r>
        <w:t>Campaign logic turns a booking into a set of eligible playback opportunities. The system needs deterministic rules so operators can explain why an advert did or did not play.</w:t>
      </w:r>
    </w:p>
    <w:p>
      <w:pPr>
        <w:pStyle w:val="ListBullet"/>
      </w:pPr>
      <w:r>
        <w:t>Campaign start and end dates.</w:t>
      </w:r>
    </w:p>
    <w:p>
      <w:pPr>
        <w:pStyle w:val="ListBullet"/>
      </w:pPr>
      <w:r>
        <w:t>Venue, location, screen or audience targeting.</w:t>
      </w:r>
    </w:p>
    <w:p>
      <w:pPr>
        <w:pStyle w:val="ListBullet"/>
      </w:pPr>
      <w:r>
        <w:t>Dayparting and days of week.</w:t>
      </w:r>
    </w:p>
    <w:p>
      <w:pPr>
        <w:pStyle w:val="ListBullet"/>
      </w:pPr>
      <w:r>
        <w:t>Creative duration and format.</w:t>
      </w:r>
    </w:p>
    <w:p>
      <w:pPr>
        <w:pStyle w:val="ListBullet"/>
      </w:pPr>
      <w:r>
        <w:t>Frequency or maximum repetition.</w:t>
      </w:r>
    </w:p>
    <w:p>
      <w:pPr>
        <w:pStyle w:val="ListBullet"/>
      </w:pPr>
      <w:r>
        <w:t>Share of voice.</w:t>
      </w:r>
    </w:p>
    <w:p>
      <w:pPr>
        <w:pStyle w:val="ListBullet"/>
      </w:pPr>
      <w:r>
        <w:t>Priority and sponsorship rules.</w:t>
      </w:r>
    </w:p>
    <w:p>
      <w:pPr>
        <w:pStyle w:val="ListBullet"/>
      </w:pPr>
      <w:r>
        <w:t>Pacing across the campaign period.</w:t>
      </w:r>
    </w:p>
    <w:p>
      <w:pPr>
        <w:pStyle w:val="ListBullet"/>
      </w:pPr>
      <w:r>
        <w:t>Category exclusions and venue restrictions.</w:t>
      </w:r>
    </w:p>
    <w:p>
      <w:pPr>
        <w:pStyle w:val="ListBullet"/>
      </w:pPr>
      <w:r>
        <w:t>Make-good logic after underdelivery.</w:t>
      </w:r>
    </w:p>
    <w:p>
      <w:pPr>
        <w:pStyle w:val="ListBullet"/>
      </w:pPr>
      <w:r>
        <w:t>Fallback behaviour when no paid campaign is eligible.</w:t>
      </w:r>
    </w:p>
    <w:p>
      <w:pPr>
        <w:pStyle w:val="Heading2"/>
      </w:pPr>
      <w:r>
        <w:t>Pacing</w:t>
      </w:r>
    </w:p>
    <w:p>
      <w:r>
        <w:t>Pacing controls how delivery is distributed. A campaign booked for a month should not consume its entire allocation in the first few days unless that is intentional. The system may pace evenly, front-load, prioritise specific hours or adapt to remaining inventory.</w:t>
      </w:r>
    </w:p>
    <w:p>
      <w:pPr>
        <w:pStyle w:val="Heading2"/>
      </w:pPr>
      <w:r>
        <w:t>Priority and conflicts</w:t>
      </w:r>
    </w:p>
    <w:p>
      <w:r>
        <w:t>The platform needs an explicit method for resolving conflicts between sponsorships, direct-sold campaigns, house content and programmatic demand. Hidden or inconsistent priority rules create disputes and support load.</w:t>
      </w:r>
    </w:p>
    <w:p>
      <w:pPr>
        <w:pStyle w:val="Heading1"/>
      </w:pPr>
      <w:r>
        <w:t>7. Manage inventory, not only screens</w:t>
      </w:r>
    </w:p>
    <w:p>
      <w:r>
        <w:t>In DOOH, inventory is the opportunity to display advertising. One screen can create many different inventory products depending on time, audience, loop structure and commercial rules.</w:t>
      </w:r>
    </w:p>
    <w:p>
      <w:pPr>
        <w:pStyle w:val="ListBullet"/>
      </w:pPr>
      <w:r>
        <w:t>Screen and venue.</w:t>
      </w:r>
    </w:p>
    <w:p>
      <w:pPr>
        <w:pStyle w:val="ListBullet"/>
      </w:pPr>
      <w:r>
        <w:t>Available operating hours.</w:t>
      </w:r>
    </w:p>
    <w:p>
      <w:pPr>
        <w:pStyle w:val="ListBullet"/>
      </w:pPr>
      <w:r>
        <w:t>Loop duration and advert slot length.</w:t>
      </w:r>
    </w:p>
    <w:p>
      <w:pPr>
        <w:pStyle w:val="ListBullet"/>
      </w:pPr>
      <w:r>
        <w:t>Dayparts.</w:t>
      </w:r>
    </w:p>
    <w:p>
      <w:pPr>
        <w:pStyle w:val="ListBullet"/>
      </w:pPr>
      <w:r>
        <w:t>Estimated audience.</w:t>
      </w:r>
    </w:p>
    <w:p>
      <w:pPr>
        <w:pStyle w:val="ListBullet"/>
      </w:pPr>
      <w:r>
        <w:t>Permitted advertiser categories.</w:t>
      </w:r>
    </w:p>
    <w:p>
      <w:pPr>
        <w:pStyle w:val="ListBullet"/>
      </w:pPr>
      <w:r>
        <w:t>Direct-sold commitments.</w:t>
      </w:r>
    </w:p>
    <w:p>
      <w:pPr>
        <w:pStyle w:val="ListBullet"/>
      </w:pPr>
      <w:r>
        <w:t>Sponsorship restrictions.</w:t>
      </w:r>
    </w:p>
    <w:p>
      <w:pPr>
        <w:pStyle w:val="ListBullet"/>
      </w:pPr>
      <w:r>
        <w:t>Programmatic eligibility.</w:t>
      </w:r>
    </w:p>
    <w:p>
      <w:pPr>
        <w:pStyle w:val="ListBullet"/>
      </w:pPr>
      <w:r>
        <w:t>Fallback or venue-content allocation.</w:t>
      </w:r>
    </w:p>
    <w:p>
      <w:r>
        <w:t>Inventory forecasting helps prevent overbooking. The system should estimate whether a proposed campaign can meet its delivery target after existing commitments, exclusions and expected screen availability are considered.</w:t>
      </w:r>
    </w:p>
    <w:p>
      <w:pPr>
        <w:pStyle w:val="Heading1"/>
      </w:pPr>
      <w:r>
        <w:t>8. Build credible proof of play</w:t>
      </w:r>
    </w:p>
    <w:p>
      <w:r>
        <w:t>Proof of play is the operational evidence that a specific creative was displayed. It is not the same as proof that the file downloaded, proof that the campaign was scheduled or proof that a person saw the advert.</w:t>
      </w:r>
    </w:p>
    <w:p>
      <w:pPr>
        <w:pStyle w:val="CodeBlock"/>
      </w:pPr>
      <w:r>
        <w:t>Campaign booked</w:t>
        <w:br/>
        <w:t xml:space="preserve">      ↓</w:t>
        <w:br/>
        <w:t>Creative approved</w:t>
        <w:br/>
        <w:t xml:space="preserve">      ↓</w:t>
        <w:br/>
        <w:t>Creative downloaded</w:t>
        <w:br/>
        <w:t xml:space="preserve">      ↓</w:t>
        <w:br/>
        <w:t>Playback opportunity selected</w:t>
        <w:br/>
        <w:t xml:space="preserve">      ↓</w:t>
        <w:br/>
        <w:t>Creative starts</w:t>
        <w:br/>
        <w:t xml:space="preserve">      ↓</w:t>
        <w:br/>
        <w:t>Playback completes or fails</w:t>
        <w:br/>
        <w:t xml:space="preserve">      ↓</w:t>
        <w:br/>
        <w:t>Event recorded locally</w:t>
        <w:br/>
        <w:t xml:space="preserve">      ↓</w:t>
        <w:br/>
        <w:t>Event uploaded and reconciled</w:t>
        <w:br/>
        <w:t xml:space="preserve">      ↓</w:t>
        <w:br/>
        <w:t>Advertiser report</w:t>
      </w:r>
    </w:p>
    <w:p>
      <w:pPr>
        <w:pStyle w:val="Caption"/>
        <w:jc w:val="center"/>
      </w:pPr>
      <w:r>
        <w:t>A proof-of-play workflow should record actual playback, not only scheduling intent.</w:t>
      </w:r>
    </w:p>
    <w:p>
      <w:pPr>
        <w:pStyle w:val="Heading2"/>
      </w:pPr>
      <w:r>
        <w:t>Useful proof-of-play fields</w:t>
      </w:r>
    </w:p>
    <w:p>
      <w:pPr>
        <w:pStyle w:val="ListBullet"/>
      </w:pPr>
      <w:r>
        <w:t>Campaign identifier.</w:t>
      </w:r>
    </w:p>
    <w:p>
      <w:pPr>
        <w:pStyle w:val="ListBullet"/>
      </w:pPr>
      <w:r>
        <w:t>Creative identifier and version.</w:t>
      </w:r>
    </w:p>
    <w:p>
      <w:pPr>
        <w:pStyle w:val="ListBullet"/>
      </w:pPr>
      <w:r>
        <w:t>Screen and venue.</w:t>
      </w:r>
    </w:p>
    <w:p>
      <w:pPr>
        <w:pStyle w:val="ListBullet"/>
      </w:pPr>
      <w:r>
        <w:t>Scheduled opportunity.</w:t>
      </w:r>
    </w:p>
    <w:p>
      <w:pPr>
        <w:pStyle w:val="ListBullet"/>
      </w:pPr>
      <w:r>
        <w:t>Actual playback start time.</w:t>
      </w:r>
    </w:p>
    <w:p>
      <w:pPr>
        <w:pStyle w:val="ListBullet"/>
      </w:pPr>
      <w:r>
        <w:t>Actual or expected duration.</w:t>
      </w:r>
    </w:p>
    <w:p>
      <w:pPr>
        <w:pStyle w:val="ListBullet"/>
      </w:pPr>
      <w:r>
        <w:t>Completion or failure status.</w:t>
      </w:r>
    </w:p>
    <w:p>
      <w:pPr>
        <w:pStyle w:val="ListBullet"/>
      </w:pPr>
      <w:r>
        <w:t>Device, runtime and relevant software version.</w:t>
      </w:r>
    </w:p>
    <w:p>
      <w:pPr>
        <w:pStyle w:val="ListBullet"/>
      </w:pPr>
      <w:r>
        <w:t>Whether the device was online or offline.</w:t>
      </w:r>
    </w:p>
    <w:p>
      <w:pPr>
        <w:pStyle w:val="ListBullet"/>
      </w:pPr>
      <w:r>
        <w:t>Event creation and server-upload timestamps.</w:t>
      </w:r>
    </w:p>
    <w:p>
      <w:pPr>
        <w:pStyle w:val="ListBullet"/>
      </w:pPr>
      <w:r>
        <w:t>Error information when playback failed.</w:t>
      </w:r>
    </w:p>
    <w:tbl>
      <w:tblPr>
        <w:tblW w:type="auto" w:w="0"/>
        <w:jc w:val="center"/>
        <w:tblLook w:firstColumn="1" w:firstRow="1" w:lastColumn="0" w:lastRow="0" w:noHBand="0" w:noVBand="1" w:val="04A0"/>
      </w:tblPr>
      <w:tblGrid>
        <w:gridCol w:w="10080"/>
      </w:tblGrid>
      <w:tr>
        <w:tc>
          <w:tcPr>
            <w:tcW w:type="dxa" w:w="10080"/>
            <w:shd w:fill="F3F4F6"/>
            <w:vAlign w:val="center"/>
          </w:tcPr>
          <w:p>
            <w:r>
              <w:rPr>
                <w:b/>
              </w:rPr>
              <w:t>Important distinction</w:t>
              <w:br/>
            </w:r>
            <w:r>
              <w:t>Proof of schedule shows intent. Proof of download shows availability. Proof of play shows a playback event. Audience measurement estimates exposure. A professional report should not blur these concepts.</w:t>
            </w:r>
          </w:p>
        </w:tc>
      </w:tr>
    </w:tbl>
    <w:p/>
    <w:p>
      <w:pPr>
        <w:pStyle w:val="Heading1"/>
      </w:pPr>
      <w:r>
        <w:t>9. Define audience measurement before selling impressions</w:t>
      </w:r>
    </w:p>
    <w:p>
      <w:r>
        <w:t>Measurement practices vary by market, format and available data. Industry bodies have continued to publish frameworks because DOOH measurement remains fragmented and buyers need greater consistency and transparency.</w:t>
      </w:r>
    </w:p>
    <w:p>
      <w:pPr>
        <w:pStyle w:val="ListBullet"/>
      </w:pPr>
      <w:r>
        <w:t>Traffic or footfall counts.</w:t>
      </w:r>
    </w:p>
    <w:p>
      <w:pPr>
        <w:pStyle w:val="ListBullet"/>
      </w:pPr>
      <w:r>
        <w:t>Dwell time.</w:t>
      </w:r>
    </w:p>
    <w:p>
      <w:pPr>
        <w:pStyle w:val="ListBullet"/>
      </w:pPr>
      <w:r>
        <w:t>Visibility and viewing opportunity.</w:t>
      </w:r>
    </w:p>
    <w:p>
      <w:pPr>
        <w:pStyle w:val="ListBullet"/>
      </w:pPr>
      <w:r>
        <w:t>Impression models.</w:t>
      </w:r>
    </w:p>
    <w:p>
      <w:pPr>
        <w:pStyle w:val="ListBullet"/>
      </w:pPr>
      <w:r>
        <w:t>Audience composition.</w:t>
      </w:r>
    </w:p>
    <w:p>
      <w:pPr>
        <w:pStyle w:val="ListBullet"/>
      </w:pPr>
      <w:r>
        <w:t>Mobile movement data.</w:t>
      </w:r>
    </w:p>
    <w:p>
      <w:pPr>
        <w:pStyle w:val="ListBullet"/>
      </w:pPr>
      <w:r>
        <w:t>Sensors or computer vision used within applicable privacy rules.</w:t>
      </w:r>
    </w:p>
    <w:p>
      <w:pPr>
        <w:pStyle w:val="ListBullet"/>
      </w:pPr>
      <w:r>
        <w:t>QR scans or direct response.</w:t>
      </w:r>
    </w:p>
    <w:p>
      <w:pPr>
        <w:pStyle w:val="ListBullet"/>
      </w:pPr>
      <w:r>
        <w:t>Website or search lift.</w:t>
      </w:r>
    </w:p>
    <w:p>
      <w:pPr>
        <w:pStyle w:val="ListBullet"/>
      </w:pPr>
      <w:r>
        <w:t>Store visits.</w:t>
      </w:r>
    </w:p>
    <w:p>
      <w:pPr>
        <w:pStyle w:val="ListBullet"/>
      </w:pPr>
      <w:r>
        <w:t>Sales attribution.</w:t>
      </w:r>
    </w:p>
    <w:tbl>
      <w:tblPr>
        <w:tblW w:type="auto" w:w="0"/>
        <w:jc w:val="center"/>
        <w:tblLook w:firstColumn="1" w:firstRow="1" w:lastColumn="0" w:lastRow="0" w:noHBand="0" w:noVBand="1" w:val="04A0"/>
      </w:tblPr>
      <w:tblGrid>
        <w:gridCol w:w="10080"/>
      </w:tblGrid>
      <w:tr>
        <w:tc>
          <w:tcPr>
            <w:tcW w:type="dxa" w:w="10080"/>
            <w:shd w:fill="F3F4F6"/>
            <w:vAlign w:val="center"/>
          </w:tcPr>
          <w:p>
            <w:r>
              <w:rPr>
                <w:b/>
              </w:rPr>
              <w:t>Measurement rule</w:t>
              <w:br/>
            </w:r>
            <w:r>
              <w:t>Do not sell impression precision that the methodology cannot support. Document the data source, assumptions, update frequency, geographic coverage and limitations. Separate measured values from modelled estimates.</w:t>
            </w:r>
          </w:p>
        </w:tc>
      </w:tr>
    </w:tbl>
    <w:p/>
    <w:p>
      <w:pPr>
        <w:pStyle w:val="Heading2"/>
      </w:pPr>
      <w:r>
        <w:t>Privacy</w:t>
      </w:r>
    </w:p>
    <w:p>
      <w:r>
        <w:t>Audience measurement should be designed with privacy, legal review and data minimisation in mind. A DOOH network does not need to identify individual people to be useful. Aggregated audience estimates, venue traffic and contextual data may be sufficient for many business models.</w:t>
      </w:r>
    </w:p>
    <w:p>
      <w:pPr>
        <w:pStyle w:val="Heading1"/>
      </w:pPr>
      <w:r>
        <w:t>10. Choose direct sales, programmatic or a hybrid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1827"/>
          </w:tcPr>
          <w:p>
            <w:r>
              <w:rPr>
                <w:b/>
                <w:color w:val="FFFFFF"/>
              </w:rPr>
              <w:t>Area</w:t>
            </w:r>
          </w:p>
        </w:tc>
        <w:tc>
          <w:tcPr>
            <w:tcW w:type="dxa" w:w="3360"/>
            <w:shd w:fill="111827"/>
          </w:tcPr>
          <w:p>
            <w:r>
              <w:rPr>
                <w:b/>
                <w:color w:val="FFFFFF"/>
              </w:rPr>
              <w:t>Direct sales</w:t>
            </w:r>
          </w:p>
        </w:tc>
        <w:tc>
          <w:tcPr>
            <w:tcW w:type="dxa" w:w="3360"/>
            <w:shd w:fill="111827"/>
          </w:tcPr>
          <w:p>
            <w:r>
              <w:rPr>
                <w:b/>
                <w:color w:val="FFFFFF"/>
              </w:rPr>
              <w:t>Programmatic DOOH</w:t>
            </w:r>
          </w:p>
        </w:tc>
      </w:tr>
      <w:tr>
        <w:tc>
          <w:tcPr>
            <w:tcW w:type="dxa" w:w="3360"/>
          </w:tcPr>
          <w:p>
            <w:r>
              <w:t>Buyer relationship</w:t>
            </w:r>
          </w:p>
        </w:tc>
        <w:tc>
          <w:tcPr>
            <w:tcW w:type="dxa" w:w="3360"/>
          </w:tcPr>
          <w:p>
            <w:r>
              <w:t>Operator manages advertiser or agency directly</w:t>
            </w:r>
          </w:p>
        </w:tc>
        <w:tc>
          <w:tcPr>
            <w:tcW w:type="dxa" w:w="3360"/>
          </w:tcPr>
          <w:p>
            <w:r>
              <w:t>Demand arrives through automated buying platforms</w:t>
            </w:r>
          </w:p>
        </w:tc>
      </w:tr>
      <w:tr>
        <w:tc>
          <w:tcPr>
            <w:tcW w:type="dxa" w:w="3360"/>
          </w:tcPr>
          <w:p>
            <w:r>
              <w:t>Pricing</w:t>
            </w:r>
          </w:p>
        </w:tc>
        <w:tc>
          <w:tcPr>
            <w:tcW w:type="dxa" w:w="3360"/>
          </w:tcPr>
          <w:p>
            <w:r>
              <w:t>Negotiated packages, sponsorships or CPM</w:t>
            </w:r>
          </w:p>
        </w:tc>
        <w:tc>
          <w:tcPr>
            <w:tcW w:type="dxa" w:w="3360"/>
          </w:tcPr>
          <w:p>
            <w:r>
              <w:t>Auction or deal-based pricing</w:t>
            </w:r>
          </w:p>
        </w:tc>
      </w:tr>
      <w:tr>
        <w:tc>
          <w:tcPr>
            <w:tcW w:type="dxa" w:w="3360"/>
          </w:tcPr>
          <w:p>
            <w:r>
              <w:t>Control</w:t>
            </w:r>
          </w:p>
        </w:tc>
        <w:tc>
          <w:tcPr>
            <w:tcW w:type="dxa" w:w="3360"/>
          </w:tcPr>
          <w:p>
            <w:r>
              <w:t>High control over advertisers and packages</w:t>
            </w:r>
          </w:p>
        </w:tc>
        <w:tc>
          <w:tcPr>
            <w:tcW w:type="dxa" w:w="3360"/>
          </w:tcPr>
          <w:p>
            <w:r>
              <w:t>Rules and integrations determine eligibility</w:t>
            </w:r>
          </w:p>
        </w:tc>
      </w:tr>
      <w:tr>
        <w:tc>
          <w:tcPr>
            <w:tcW w:type="dxa" w:w="3360"/>
          </w:tcPr>
          <w:p>
            <w:r>
              <w:t>Operations</w:t>
            </w:r>
          </w:p>
        </w:tc>
        <w:tc>
          <w:tcPr>
            <w:tcW w:type="dxa" w:w="3360"/>
          </w:tcPr>
          <w:p>
            <w:r>
              <w:t>More proposals, approvals and account service</w:t>
            </w:r>
          </w:p>
        </w:tc>
        <w:tc>
          <w:tcPr>
            <w:tcW w:type="dxa" w:w="3360"/>
          </w:tcPr>
          <w:p>
            <w:r>
              <w:t>More technical integration and reconciliation</w:t>
            </w:r>
          </w:p>
        </w:tc>
      </w:tr>
      <w:tr>
        <w:tc>
          <w:tcPr>
            <w:tcW w:type="dxa" w:w="3360"/>
          </w:tcPr>
          <w:p>
            <w:r>
              <w:t>Demand</w:t>
            </w:r>
          </w:p>
        </w:tc>
        <w:tc>
          <w:tcPr>
            <w:tcW w:type="dxa" w:w="3360"/>
          </w:tcPr>
          <w:p>
            <w:r>
              <w:t>Depends on sales capability</w:t>
            </w:r>
          </w:p>
        </w:tc>
        <w:tc>
          <w:tcPr>
            <w:tcW w:type="dxa" w:w="3360"/>
          </w:tcPr>
          <w:p>
            <w:r>
              <w:t>Can widen access but does not guarantee fill</w:t>
            </w:r>
          </w:p>
        </w:tc>
      </w:tr>
      <w:tr>
        <w:tc>
          <w:tcPr>
            <w:tcW w:type="dxa" w:w="3360"/>
          </w:tcPr>
          <w:p>
            <w:r>
              <w:t>Fees</w:t>
            </w:r>
          </w:p>
        </w:tc>
        <w:tc>
          <w:tcPr>
            <w:tcW w:type="dxa" w:w="3360"/>
          </w:tcPr>
          <w:p>
            <w:r>
              <w:t>Sales and agency costs</w:t>
            </w:r>
          </w:p>
        </w:tc>
        <w:tc>
          <w:tcPr>
            <w:tcW w:type="dxa" w:w="3360"/>
          </w:tcPr>
          <w:p>
            <w:r>
              <w:t>SSP, marketplace, data and platform fees</w:t>
            </w:r>
          </w:p>
        </w:tc>
      </w:tr>
      <w:tr>
        <w:tc>
          <w:tcPr>
            <w:tcW w:type="dxa" w:w="3360"/>
          </w:tcPr>
          <w:p>
            <w:r>
              <w:t>Best early use</w:t>
            </w:r>
          </w:p>
        </w:tc>
        <w:tc>
          <w:tcPr>
            <w:tcW w:type="dxa" w:w="3360"/>
          </w:tcPr>
          <w:p>
            <w:r>
              <w:t>Local or vertical network proving demand</w:t>
            </w:r>
          </w:p>
        </w:tc>
        <w:tc>
          <w:tcPr>
            <w:tcW w:type="dxa" w:w="3360"/>
          </w:tcPr>
          <w:p>
            <w:r>
              <w:t>Mature inventory with quality data and operational controls</w:t>
            </w:r>
          </w:p>
        </w:tc>
      </w:tr>
    </w:tbl>
    <w:p>
      <w:r>
        <w:t>IAB Tech Lab has incorporated DOOH into OpenRTB, providing a standardised basis for programmatic transactions. That does not remove the need for inventory quality, creative approval, venue rules, pacing and accurate reporting.</w:t>
      </w:r>
    </w:p>
    <w:p>
      <w:pPr>
        <w:pStyle w:val="Heading1"/>
      </w:pPr>
      <w:r>
        <w:t>11. Select hardware and connectivity for the environment</w:t>
      </w:r>
    </w:p>
    <w:p>
      <w:pPr>
        <w:pStyle w:val="ListBullet"/>
      </w:pPr>
      <w:r>
        <w:t>Commercial display versus consumer television.</w:t>
      </w:r>
    </w:p>
    <w:p>
      <w:pPr>
        <w:pStyle w:val="ListBullet"/>
      </w:pPr>
      <w:r>
        <w:t>System-on-chip display versus external media player.</w:t>
      </w:r>
    </w:p>
    <w:p>
      <w:pPr>
        <w:pStyle w:val="ListBullet"/>
      </w:pPr>
      <w:r>
        <w:t>Brightness and ambient light.</w:t>
      </w:r>
    </w:p>
    <w:p>
      <w:pPr>
        <w:pStyle w:val="ListBullet"/>
      </w:pPr>
      <w:r>
        <w:t>Portrait or landscape orientation.</w:t>
      </w:r>
    </w:p>
    <w:p>
      <w:pPr>
        <w:pStyle w:val="ListBullet"/>
      </w:pPr>
      <w:r>
        <w:t>Thermal conditions and ventilation.</w:t>
      </w:r>
    </w:p>
    <w:p>
      <w:pPr>
        <w:pStyle w:val="ListBullet"/>
      </w:pPr>
      <w:r>
        <w:t>Operating hours and duty cycle.</w:t>
      </w:r>
    </w:p>
    <w:p>
      <w:pPr>
        <w:pStyle w:val="ListBullet"/>
      </w:pPr>
      <w:r>
        <w:t>Local storage.</w:t>
      </w:r>
    </w:p>
    <w:p>
      <w:pPr>
        <w:pStyle w:val="ListBullet"/>
      </w:pPr>
      <w:r>
        <w:t>Power recovery and automatic startup.</w:t>
      </w:r>
    </w:p>
    <w:p>
      <w:pPr>
        <w:pStyle w:val="ListBullet"/>
      </w:pPr>
      <w:r>
        <w:t>Network type and expected reliability.</w:t>
      </w:r>
    </w:p>
    <w:p>
      <w:pPr>
        <w:pStyle w:val="ListBullet"/>
      </w:pPr>
      <w:r>
        <w:t>Remote access and diagnostics.</w:t>
      </w:r>
    </w:p>
    <w:p>
      <w:pPr>
        <w:pStyle w:val="ListBullet"/>
      </w:pPr>
      <w:r>
        <w:t>Physical security and tamper risk.</w:t>
      </w:r>
    </w:p>
    <w:p>
      <w:pPr>
        <w:pStyle w:val="ListBullet"/>
      </w:pPr>
      <w:r>
        <w:t>Mounting, cable access and serviceability.</w:t>
      </w:r>
    </w:p>
    <w:p>
      <w:r>
        <w:t>The cheapest screen is not always the lowest-cost deployment. Field visits, unreliable startup behaviour and inconsistent media playback can quickly exceed the initial hardware saving.</w:t>
      </w:r>
    </w:p>
    <w:p>
      <w:pPr>
        <w:pStyle w:val="Heading1"/>
      </w:pPr>
      <w:r>
        <w:t>12. Establish creative and content operations</w:t>
      </w:r>
    </w:p>
    <w:p>
      <w:pPr>
        <w:pStyle w:val="ListBullet"/>
      </w:pPr>
      <w:r>
        <w:t>Accepted dimensions and aspect ratios.</w:t>
      </w:r>
    </w:p>
    <w:p>
      <w:pPr>
        <w:pStyle w:val="ListBullet"/>
      </w:pPr>
      <w:r>
        <w:t>Maximum duration.</w:t>
      </w:r>
    </w:p>
    <w:p>
      <w:pPr>
        <w:pStyle w:val="ListBullet"/>
      </w:pPr>
      <w:r>
        <w:t>Container, codec and bitrate guidance.</w:t>
      </w:r>
    </w:p>
    <w:p>
      <w:pPr>
        <w:pStyle w:val="ListBullet"/>
      </w:pPr>
      <w:r>
        <w:t>Audio policy.</w:t>
      </w:r>
    </w:p>
    <w:p>
      <w:pPr>
        <w:pStyle w:val="ListBullet"/>
      </w:pPr>
      <w:r>
        <w:t>Safe zones and text size.</w:t>
      </w:r>
    </w:p>
    <w:p>
      <w:pPr>
        <w:pStyle w:val="ListBullet"/>
      </w:pPr>
      <w:r>
        <w:t>Animation and transition rules.</w:t>
      </w:r>
    </w:p>
    <w:p>
      <w:pPr>
        <w:pStyle w:val="ListBullet"/>
      </w:pPr>
      <w:r>
        <w:t>Prohibited advertiser categories.</w:t>
      </w:r>
    </w:p>
    <w:p>
      <w:pPr>
        <w:pStyle w:val="ListBullet"/>
      </w:pPr>
      <w:r>
        <w:t>Venue-specific restrictions.</w:t>
      </w:r>
    </w:p>
    <w:p>
      <w:pPr>
        <w:pStyle w:val="ListBullet"/>
      </w:pPr>
      <w:r>
        <w:t>Approval ownership and turnaround time.</w:t>
      </w:r>
    </w:p>
    <w:p>
      <w:pPr>
        <w:pStyle w:val="ListBullet"/>
      </w:pPr>
      <w:r>
        <w:t>Creative expiry and withdrawal.</w:t>
      </w:r>
    </w:p>
    <w:p>
      <w:pPr>
        <w:pStyle w:val="ListBullet"/>
      </w:pPr>
      <w:r>
        <w:t>Emergency removal process.</w:t>
      </w:r>
    </w:p>
    <w:p>
      <w:pPr>
        <w:pStyle w:val="ListBullet"/>
      </w:pPr>
      <w:r>
        <w:t>Fallback content when inventory is unsold.</w:t>
      </w:r>
    </w:p>
    <w:tbl>
      <w:tblPr>
        <w:tblW w:type="auto" w:w="0"/>
        <w:jc w:val="center"/>
        <w:tblLook w:firstColumn="1" w:firstRow="1" w:lastColumn="0" w:lastRow="0" w:noHBand="0" w:noVBand="1" w:val="04A0"/>
      </w:tblPr>
      <w:tblGrid>
        <w:gridCol w:w="10080"/>
      </w:tblGrid>
      <w:tr>
        <w:tc>
          <w:tcPr>
            <w:tcW w:type="dxa" w:w="10080"/>
            <w:shd w:fill="F3F4F6"/>
            <w:vAlign w:val="center"/>
          </w:tcPr>
          <w:p>
            <w:r>
              <w:rPr>
                <w:b/>
              </w:rPr>
              <w:t>Playback context matters</w:t>
              <w:br/>
            </w:r>
            <w:r>
              <w:t>A video that works as native media may behave differently when embedded inside HTML or a third-party widget. Validate the actual creative in the actual playback context on the target device and firmware.</w:t>
            </w:r>
          </w:p>
        </w:tc>
      </w:tr>
    </w:tbl>
    <w:p/>
    <w:p>
      <w:pPr>
        <w:pStyle w:val="Heading1"/>
      </w:pPr>
      <w:r>
        <w:t>13. Design operations before scaling</w:t>
      </w:r>
    </w:p>
    <w:p>
      <w:pPr>
        <w:pStyle w:val="ListBullet"/>
      </w:pPr>
      <w:r>
        <w:t>Device health and last connection.</w:t>
      </w:r>
    </w:p>
    <w:p>
      <w:pPr>
        <w:pStyle w:val="ListBullet"/>
      </w:pPr>
      <w:r>
        <w:t>Playback and download status.</w:t>
      </w:r>
    </w:p>
    <w:p>
      <w:pPr>
        <w:pStyle w:val="ListBullet"/>
      </w:pPr>
      <w:r>
        <w:t>Screenshot or visual verification where supported.</w:t>
      </w:r>
    </w:p>
    <w:p>
      <w:pPr>
        <w:pStyle w:val="ListBullet"/>
      </w:pPr>
      <w:r>
        <w:t>Internet outage handling.</w:t>
      </w:r>
    </w:p>
    <w:p>
      <w:pPr>
        <w:pStyle w:val="ListBullet"/>
      </w:pPr>
      <w:r>
        <w:t>Display and player failure.</w:t>
      </w:r>
    </w:p>
    <w:p>
      <w:pPr>
        <w:pStyle w:val="ListBullet"/>
      </w:pPr>
      <w:r>
        <w:t>Remote restart and diagnostics.</w:t>
      </w:r>
    </w:p>
    <w:p>
      <w:pPr>
        <w:pStyle w:val="ListBullet"/>
      </w:pPr>
      <w:r>
        <w:t>Venue contact and site access.</w:t>
      </w:r>
    </w:p>
    <w:p>
      <w:pPr>
        <w:pStyle w:val="ListBullet"/>
      </w:pPr>
      <w:r>
        <w:t>Spare hardware and replacement process.</w:t>
      </w:r>
    </w:p>
    <w:p>
      <w:pPr>
        <w:pStyle w:val="ListBullet"/>
      </w:pPr>
      <w:r>
        <w:t>Incident severity and response targets.</w:t>
      </w:r>
    </w:p>
    <w:p>
      <w:pPr>
        <w:pStyle w:val="ListBullet"/>
      </w:pPr>
      <w:r>
        <w:t>Firmware and runtime update policy.</w:t>
      </w:r>
    </w:p>
    <w:p>
      <w:pPr>
        <w:pStyle w:val="ListBullet"/>
      </w:pPr>
      <w:r>
        <w:t>Campaign underdelivery and make-goods.</w:t>
      </w:r>
    </w:p>
    <w:p>
      <w:pPr>
        <w:pStyle w:val="ListBullet"/>
      </w:pPr>
      <w:r>
        <w:t>Advertiser and venue escalation paths.</w:t>
      </w:r>
    </w:p>
    <w:p>
      <w:r>
        <w:t>Operational cost usually grows with the number of locations, hardware variation and exceptions. Standardising devices, installation, network configuration and support workflows is often more valuable than adding another dashboard feature.</w:t>
      </w:r>
    </w:p>
    <w:p>
      <w:pPr>
        <w:pStyle w:val="Heading1"/>
      </w:pPr>
      <w:r>
        <w:t>14. Address legal, privacy and contractual requirements</w:t>
      </w:r>
    </w:p>
    <w:p>
      <w:r>
        <w:t>Requirements vary substantially by country, state, venue and screen format. Obtain legal and regulatory advice for the jurisdictions in which the network operates.</w:t>
      </w:r>
    </w:p>
    <w:p>
      <w:pPr>
        <w:pStyle w:val="ListBullet"/>
      </w:pPr>
      <w:r>
        <w:t>Rights to install and monetise media at the location.</w:t>
      </w:r>
    </w:p>
    <w:p>
      <w:pPr>
        <w:pStyle w:val="ListBullet"/>
      </w:pPr>
      <w:r>
        <w:t>Advertiser and agency terms.</w:t>
      </w:r>
    </w:p>
    <w:p>
      <w:pPr>
        <w:pStyle w:val="ListBullet"/>
      </w:pPr>
      <w:r>
        <w:t>Creative approvals and prohibited content.</w:t>
      </w:r>
    </w:p>
    <w:p>
      <w:pPr>
        <w:pStyle w:val="ListBullet"/>
      </w:pPr>
      <w:r>
        <w:t>Privacy and data-processing obligations.</w:t>
      </w:r>
    </w:p>
    <w:p>
      <w:pPr>
        <w:pStyle w:val="ListBullet"/>
      </w:pPr>
      <w:r>
        <w:t>Sensors, cameras and mobile-data use.</w:t>
      </w:r>
    </w:p>
    <w:p>
      <w:pPr>
        <w:pStyle w:val="ListBullet"/>
      </w:pPr>
      <w:r>
        <w:t>Planning or roadside-display restrictions.</w:t>
      </w:r>
    </w:p>
    <w:p>
      <w:pPr>
        <w:pStyle w:val="ListBullet"/>
      </w:pPr>
      <w:r>
        <w:t>Music, footage, image and font rights.</w:t>
      </w:r>
    </w:p>
    <w:p>
      <w:pPr>
        <w:pStyle w:val="ListBullet"/>
      </w:pPr>
      <w:r>
        <w:t>Political, alcohol, gambling, healthcare and regulated advertising.</w:t>
      </w:r>
    </w:p>
    <w:p>
      <w:pPr>
        <w:pStyle w:val="ListBullet"/>
      </w:pPr>
      <w:r>
        <w:t>Venue revenue share and audit rights.</w:t>
      </w:r>
    </w:p>
    <w:p>
      <w:pPr>
        <w:pStyle w:val="ListBullet"/>
      </w:pPr>
      <w:r>
        <w:t>Service levels, liability and equipment ownership.</w:t>
      </w:r>
    </w:p>
    <w:p>
      <w:pPr>
        <w:pStyle w:val="ListBullet"/>
      </w:pPr>
      <w:r>
        <w:t>Removal rights at contract end.</w:t>
      </w:r>
    </w:p>
    <w:p>
      <w:pPr>
        <w:pStyle w:val="Heading1"/>
      </w:pPr>
      <w:r>
        <w:t>15. Build, buy or assemble the platform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11827"/>
          </w:tcPr>
          <w:p>
            <w:r>
              <w:rPr>
                <w:b/>
                <w:color w:val="FFFFFF"/>
              </w:rPr>
              <w:t>Path</w:t>
            </w:r>
          </w:p>
        </w:tc>
        <w:tc>
          <w:tcPr>
            <w:tcW w:type="dxa" w:w="2520"/>
            <w:shd w:fill="111827"/>
          </w:tcPr>
          <w:p>
            <w:r>
              <w:rPr>
                <w:b/>
                <w:color w:val="FFFFFF"/>
              </w:rPr>
              <w:t>What you receive</w:t>
            </w:r>
          </w:p>
        </w:tc>
        <w:tc>
          <w:tcPr>
            <w:tcW w:type="dxa" w:w="2520"/>
            <w:shd w:fill="111827"/>
          </w:tcPr>
          <w:p>
            <w:r>
              <w:rPr>
                <w:b/>
                <w:color w:val="FFFFFF"/>
              </w:rPr>
              <w:t>Advantages</w:t>
            </w:r>
          </w:p>
        </w:tc>
        <w:tc>
          <w:tcPr>
            <w:tcW w:type="dxa" w:w="2520"/>
            <w:shd w:fill="111827"/>
          </w:tcPr>
          <w:p>
            <w:r>
              <w:rPr>
                <w:b/>
                <w:color w:val="FFFFFF"/>
              </w:rPr>
              <w:t>Trade-offs</w:t>
            </w:r>
          </w:p>
        </w:tc>
      </w:tr>
      <w:tr>
        <w:tc>
          <w:tcPr>
            <w:tcW w:type="dxa" w:w="2520"/>
          </w:tcPr>
          <w:p>
            <w:r>
              <w:t>Finished DOOH platform</w:t>
            </w:r>
          </w:p>
        </w:tc>
        <w:tc>
          <w:tcPr>
            <w:tcW w:type="dxa" w:w="2520"/>
          </w:tcPr>
          <w:p>
            <w:r>
              <w:t>CMS, campaign tools, inventory, reporting and integrations</w:t>
            </w:r>
          </w:p>
        </w:tc>
        <w:tc>
          <w:tcPr>
            <w:tcW w:type="dxa" w:w="2520"/>
          </w:tcPr>
          <w:p>
            <w:r>
              <w:t>Fastest route to market</w:t>
            </w:r>
          </w:p>
        </w:tc>
        <w:tc>
          <w:tcPr>
            <w:tcW w:type="dxa" w:w="2520"/>
          </w:tcPr>
          <w:p>
            <w:r>
              <w:t>Less product control and vendor dependence</w:t>
            </w:r>
          </w:p>
        </w:tc>
      </w:tr>
      <w:tr>
        <w:tc>
          <w:tcPr>
            <w:tcW w:type="dxa" w:w="2520"/>
          </w:tcPr>
          <w:p>
            <w:r>
              <w:t>Signage CMS plus ad tools</w:t>
            </w:r>
          </w:p>
        </w:tc>
        <w:tc>
          <w:tcPr>
            <w:tcW w:type="dxa" w:w="2520"/>
          </w:tcPr>
          <w:p>
            <w:r>
              <w:t>Screen operations combined with separate commercial systems</w:t>
            </w:r>
          </w:p>
        </w:tc>
        <w:tc>
          <w:tcPr>
            <w:tcW w:type="dxa" w:w="2520"/>
          </w:tcPr>
          <w:p>
            <w:r>
              <w:t>Flexible and available from established products</w:t>
            </w:r>
          </w:p>
        </w:tc>
        <w:tc>
          <w:tcPr>
            <w:tcW w:type="dxa" w:w="2520"/>
          </w:tcPr>
          <w:p>
            <w:r>
              <w:t>Integration and reconciliation complexity</w:t>
            </w:r>
          </w:p>
        </w:tc>
      </w:tr>
      <w:tr>
        <w:tc>
          <w:tcPr>
            <w:tcW w:type="dxa" w:w="2520"/>
          </w:tcPr>
          <w:p>
            <w:r>
              <w:t>Custom platform</w:t>
            </w:r>
          </w:p>
        </w:tc>
        <w:tc>
          <w:tcPr>
            <w:tcW w:type="dxa" w:w="2520"/>
          </w:tcPr>
          <w:p>
            <w:r>
              <w:t>Complete ownership across product and device stack</w:t>
            </w:r>
          </w:p>
        </w:tc>
        <w:tc>
          <w:tcPr>
            <w:tcW w:type="dxa" w:w="2520"/>
          </w:tcPr>
          <w:p>
            <w:r>
              <w:t>Maximum differentiation and control</w:t>
            </w:r>
          </w:p>
        </w:tc>
        <w:tc>
          <w:tcPr>
            <w:tcW w:type="dxa" w:w="2520"/>
          </w:tcPr>
          <w:p>
            <w:r>
              <w:t>Highest engineering and maintenance burden</w:t>
            </w:r>
          </w:p>
        </w:tc>
      </w:tr>
      <w:tr>
        <w:tc>
          <w:tcPr>
            <w:tcW w:type="dxa" w:w="2520"/>
          </w:tcPr>
          <w:p>
            <w:r>
              <w:t>Custom product on shared infrastructure</w:t>
            </w:r>
          </w:p>
        </w:tc>
        <w:tc>
          <w:tcPr>
            <w:tcW w:type="dxa" w:w="2520"/>
          </w:tcPr>
          <w:p>
            <w:r>
              <w:t>Your commercial application on reusable device/runtime infrastructure</w:t>
            </w:r>
          </w:p>
        </w:tc>
        <w:tc>
          <w:tcPr>
            <w:tcW w:type="dxa" w:w="2520"/>
          </w:tcPr>
          <w:p>
            <w:r>
              <w:t>Own the customer experience without rebuilding every player layer</w:t>
            </w:r>
          </w:p>
        </w:tc>
        <w:tc>
          <w:tcPr>
            <w:tcW w:type="dxa" w:w="2520"/>
          </w:tcPr>
          <w:p>
            <w:r>
              <w:t>Still requires campaign, inventory, sales and measurement systems</w:t>
            </w:r>
          </w:p>
        </w:tc>
      </w:tr>
    </w:tbl>
    <w:p>
      <w:pPr>
        <w:pStyle w:val="Heading1"/>
      </w:pPr>
      <w:r>
        <w:t>16. Where TomorrowOS fits</w:t>
      </w:r>
    </w:p>
    <w:p>
      <w:r>
        <w:t>TomorrowOS is an open-source infrastructure layer for teams building digital signage and DOOH software. It is not presented as a complete advertising sales, audience-measurement or programmatic platform.</w:t>
      </w:r>
    </w:p>
    <w:p>
      <w:r>
        <w:t>A network operator can build its own commercial application while using TomorrowOS for shared server-to-screen capabilities.</w:t>
      </w:r>
    </w:p>
    <w:p>
      <w:pPr>
        <w:pStyle w:val="CodeBlock"/>
      </w:pPr>
      <w:r>
        <w:t>Your DOOH product</w:t>
        <w:br/>
        <w:t>├── Advertisers and agencies</w:t>
        <w:br/>
        <w:t>├── Campaigns and orders</w:t>
        <w:br/>
        <w:t>├── Inventory and pricing</w:t>
        <w:br/>
        <w:t>├── Measurement and reporting</w:t>
        <w:br/>
        <w:t>├── Billing and commercial workflows</w:t>
        <w:br/>
        <w:t>└── Brand and customer experience</w:t>
        <w:br/>
        <w:t xml:space="preserve">          │</w:t>
        <w:br/>
        <w:t xml:space="preserve">          ▼</w:t>
        <w:br/>
        <w:t>TomorrowOS infrastructure</w:t>
        <w:br/>
        <w:t>├── Server SDK and APIs</w:t>
        <w:br/>
        <w:t>├── Device communication</w:t>
        <w:br/>
        <w:t>├── Content delivery</w:t>
        <w:br/>
        <w:t>├── Playback policies</w:t>
        <w:br/>
        <w:t>├── Local runtime and offline behaviour</w:t>
        <w:br/>
        <w:t>├── Commands and events</w:t>
        <w:br/>
        <w:t>└── Platform adapters</w:t>
        <w:br/>
        <w:t xml:space="preserve">          │</w:t>
        <w:br/>
        <w:t xml:space="preserve">          ▼</w:t>
        <w:br/>
        <w:t>Supported screen environments</w:t>
      </w:r>
    </w:p>
    <w:p>
      <w:pPr>
        <w:pStyle w:val="Caption"/>
        <w:jc w:val="center"/>
      </w:pPr>
      <w:r>
        <w:t>TomorrowOS focuses on reusable screen infrastructure while the operator owns the DOOH product and commercial model.</w:t>
      </w:r>
    </w:p>
    <w:p>
      <w:pPr>
        <w:pStyle w:val="Heading2"/>
      </w:pPr>
      <w:r>
        <w:t>What the operator still needs to build or integrate</w:t>
      </w:r>
    </w:p>
    <w:p>
      <w:pPr>
        <w:pStyle w:val="ListBullet"/>
      </w:pPr>
      <w:r>
        <w:t>Advertiser and agency management.</w:t>
      </w:r>
    </w:p>
    <w:p>
      <w:pPr>
        <w:pStyle w:val="ListBullet"/>
      </w:pPr>
      <w:r>
        <w:t>Sales pipeline, proposals and orders.</w:t>
      </w:r>
    </w:p>
    <w:p>
      <w:pPr>
        <w:pStyle w:val="ListBullet"/>
      </w:pPr>
      <w:r>
        <w:t>Campaign and creative approval workflows.</w:t>
      </w:r>
    </w:p>
    <w:p>
      <w:pPr>
        <w:pStyle w:val="ListBullet"/>
      </w:pPr>
      <w:r>
        <w:t>Inventory modelling and forecasting.</w:t>
      </w:r>
    </w:p>
    <w:p>
      <w:pPr>
        <w:pStyle w:val="ListBullet"/>
      </w:pPr>
      <w:r>
        <w:t>Pricing and commercial rules.</w:t>
      </w:r>
    </w:p>
    <w:p>
      <w:pPr>
        <w:pStyle w:val="ListBullet"/>
      </w:pPr>
      <w:r>
        <w:t>Ad-serving and pacing logic.</w:t>
      </w:r>
    </w:p>
    <w:p>
      <w:pPr>
        <w:pStyle w:val="ListBullet"/>
      </w:pPr>
      <w:r>
        <w:t>Programmatic integrations where required.</w:t>
      </w:r>
    </w:p>
    <w:p>
      <w:pPr>
        <w:pStyle w:val="ListBullet"/>
      </w:pPr>
      <w:r>
        <w:t>Audience measurement and attribution.</w:t>
      </w:r>
    </w:p>
    <w:p>
      <w:pPr>
        <w:pStyle w:val="ListBullet"/>
      </w:pPr>
      <w:r>
        <w:t>Billing, credits and reconciliation.</w:t>
      </w:r>
    </w:p>
    <w:p>
      <w:pPr>
        <w:pStyle w:val="ListBullet"/>
      </w:pPr>
      <w:r>
        <w:t>Venue contracts and operational processes.</w:t>
      </w:r>
    </w:p>
    <w:tbl>
      <w:tblPr>
        <w:tblW w:type="auto" w:w="0"/>
        <w:jc w:val="center"/>
        <w:tblLook w:firstColumn="1" w:firstRow="1" w:lastColumn="0" w:lastRow="0" w:noHBand="0" w:noVBand="1" w:val="04A0"/>
      </w:tblPr>
      <w:tblGrid>
        <w:gridCol w:w="10080"/>
      </w:tblGrid>
      <w:tr>
        <w:tc>
          <w:tcPr>
            <w:tcW w:type="dxa" w:w="10080"/>
            <w:shd w:fill="F3F4F6"/>
            <w:vAlign w:val="center"/>
          </w:tcPr>
          <w:p>
            <w:r>
              <w:rPr>
                <w:b/>
              </w:rPr>
              <w:t>Current product truth</w:t>
              <w:br/>
            </w:r>
            <w:r>
              <w:t>Platform support, package versions and implementation details change over time. Review the current TomorrowOS documentation and GitHub repositories before planning a production deployment.</w:t>
            </w:r>
          </w:p>
        </w:tc>
      </w:tr>
    </w:tbl>
    <w:p/>
    <w:p>
      <w:pPr>
        <w:pStyle w:val="Heading1"/>
      </w:pPr>
      <w:r>
        <w:t>17. A practical launch roadmap</w:t>
      </w:r>
    </w:p>
    <w:p>
      <w:pPr>
        <w:pStyle w:val="Heading2"/>
      </w:pPr>
      <w:r>
        <w:t>Phase 1: Validate the venue and audience model</w:t>
      </w:r>
    </w:p>
    <w:p>
      <w:r>
        <w:t>Secure a small group of locations. Confirm screen visibility, audience context, venue rights and advertiser relevance before investing in a large fleet.</w:t>
      </w:r>
    </w:p>
    <w:p>
      <w:pPr>
        <w:pStyle w:val="Heading2"/>
      </w:pPr>
      <w:r>
        <w:t>Phase 2: Deploy a technical pilot</w:t>
      </w:r>
    </w:p>
    <w:p>
      <w:r>
        <w:t>Install a limited number of screens using standard hardware and connectivity. Test content delivery, offline playback, reboot recovery, support access and proof-of-play capture.</w:t>
      </w:r>
    </w:p>
    <w:p>
      <w:pPr>
        <w:pStyle w:val="Heading2"/>
      </w:pPr>
      <w:r>
        <w:t>Phase 3: Define the media product</w:t>
      </w:r>
    </w:p>
    <w:p>
      <w:r>
        <w:t>Create inventory packages, creative standards, pricing, reporting and advertiser rules. Make the product understandable before adding complex buying options.</w:t>
      </w:r>
    </w:p>
    <w:p>
      <w:pPr>
        <w:pStyle w:val="Heading2"/>
      </w:pPr>
      <w:r>
        <w:t>Phase 4: Run real paid campaigns</w:t>
      </w:r>
    </w:p>
    <w:p>
      <w:r>
        <w:t>Use actual advertisers to test approvals, scheduling, delivery, reporting, billing and venue support. Record the operational work required.</w:t>
      </w:r>
    </w:p>
    <w:p>
      <w:pPr>
        <w:pStyle w:val="Heading2"/>
      </w:pPr>
      <w:r>
        <w:t>Phase 5: Standardise</w:t>
      </w:r>
    </w:p>
    <w:p>
      <w:r>
        <w:t>Document installation, configuration, creative review, monitoring, incident response and replacement workflows.</w:t>
      </w:r>
    </w:p>
    <w:p>
      <w:pPr>
        <w:pStyle w:val="Heading2"/>
      </w:pPr>
      <w:r>
        <w:t>Phase 6: Add automation selectively</w:t>
      </w:r>
    </w:p>
    <w:p>
      <w:r>
        <w:t>Introduce self-service, programmatic demand, advanced measurement or dynamic creative only when the underlying data and operations are reliable.</w:t>
      </w:r>
    </w:p>
    <w:p>
      <w:pPr>
        <w:pStyle w:val="Heading2"/>
      </w:pPr>
      <w:r>
        <w:t>Phase 7: Scale carefully</w:t>
      </w:r>
    </w:p>
    <w:p>
      <w:r>
        <w:t>Add screens and venues at a rate that sales, support, measurement and cash flow can sustain.</w:t>
      </w:r>
    </w:p>
    <w:p>
      <w:pPr>
        <w:pStyle w:val="Heading1"/>
      </w:pPr>
      <w:r>
        <w:t>18. DOOH network launch checklist</w:t>
      </w:r>
    </w:p>
    <w:p>
      <w:pPr>
        <w:pStyle w:val="Heading2"/>
      </w:pPr>
      <w:r>
        <w:t>Business</w:t>
      </w:r>
    </w:p>
    <w:p>
      <w:pPr>
        <w:pStyle w:val="ListBullet"/>
      </w:pPr>
      <w:r>
        <w:t>Network model selected.</w:t>
      </w:r>
    </w:p>
    <w:p>
      <w:pPr>
        <w:pStyle w:val="ListBullet"/>
      </w:pPr>
      <w:r>
        <w:t>Audience and venue proposition validated.</w:t>
      </w:r>
    </w:p>
    <w:p>
      <w:pPr>
        <w:pStyle w:val="ListBullet"/>
      </w:pPr>
      <w:r>
        <w:t>Venue rights documented.</w:t>
      </w:r>
    </w:p>
    <w:p>
      <w:pPr>
        <w:pStyle w:val="ListBullet"/>
      </w:pPr>
      <w:r>
        <w:t>Pricing and revenue-share model defined.</w:t>
      </w:r>
    </w:p>
    <w:p>
      <w:pPr>
        <w:pStyle w:val="ListBullet"/>
      </w:pPr>
      <w:r>
        <w:t>Sales ownership established.</w:t>
      </w:r>
    </w:p>
    <w:p>
      <w:pPr>
        <w:pStyle w:val="Heading2"/>
      </w:pPr>
      <w:r>
        <w:t>Technology</w:t>
      </w:r>
    </w:p>
    <w:p>
      <w:pPr>
        <w:pStyle w:val="ListBullet"/>
      </w:pPr>
      <w:r>
        <w:t>CMS selected or designed.</w:t>
      </w:r>
    </w:p>
    <w:p>
      <w:pPr>
        <w:pStyle w:val="ListBullet"/>
      </w:pPr>
      <w:r>
        <w:t>Player runtime and offline behaviour validated.</w:t>
      </w:r>
    </w:p>
    <w:p>
      <w:pPr>
        <w:pStyle w:val="ListBullet"/>
      </w:pPr>
      <w:r>
        <w:t>Campaign and inventory logic defined.</w:t>
      </w:r>
    </w:p>
    <w:p>
      <w:pPr>
        <w:pStyle w:val="ListBullet"/>
      </w:pPr>
      <w:r>
        <w:t>Proof-of-play workflow tested.</w:t>
      </w:r>
    </w:p>
    <w:p>
      <w:pPr>
        <w:pStyle w:val="ListBullet"/>
      </w:pPr>
      <w:r>
        <w:t>Monitoring and remote support available.</w:t>
      </w:r>
    </w:p>
    <w:p>
      <w:pPr>
        <w:pStyle w:val="Heading2"/>
      </w:pPr>
      <w:r>
        <w:t>Advertising</w:t>
      </w:r>
    </w:p>
    <w:p>
      <w:pPr>
        <w:pStyle w:val="ListBullet"/>
      </w:pPr>
      <w:r>
        <w:t>Creative standards published.</w:t>
      </w:r>
    </w:p>
    <w:p>
      <w:pPr>
        <w:pStyle w:val="ListBullet"/>
      </w:pPr>
      <w:r>
        <w:t>Approval workflow defined.</w:t>
      </w:r>
    </w:p>
    <w:p>
      <w:pPr>
        <w:pStyle w:val="ListBullet"/>
      </w:pPr>
      <w:r>
        <w:t>Campaign pacing and priority rules tested.</w:t>
      </w:r>
    </w:p>
    <w:p>
      <w:pPr>
        <w:pStyle w:val="ListBullet"/>
      </w:pPr>
      <w:r>
        <w:t>Underdelivery and make-good policy documented.</w:t>
      </w:r>
    </w:p>
    <w:p>
      <w:pPr>
        <w:pStyle w:val="ListBullet"/>
      </w:pPr>
      <w:r>
        <w:t>Advertiser reporting agreed.</w:t>
      </w:r>
    </w:p>
    <w:p>
      <w:pPr>
        <w:pStyle w:val="Heading2"/>
      </w:pPr>
      <w:r>
        <w:t>Measurement</w:t>
      </w:r>
    </w:p>
    <w:p>
      <w:pPr>
        <w:pStyle w:val="ListBullet"/>
      </w:pPr>
      <w:r>
        <w:t>Audience methodology documented.</w:t>
      </w:r>
    </w:p>
    <w:p>
      <w:pPr>
        <w:pStyle w:val="ListBullet"/>
      </w:pPr>
      <w:r>
        <w:t>Measured and modelled data distinguished.</w:t>
      </w:r>
    </w:p>
    <w:p>
      <w:pPr>
        <w:pStyle w:val="ListBullet"/>
      </w:pPr>
      <w:r>
        <w:t>Privacy review completed.</w:t>
      </w:r>
    </w:p>
    <w:p>
      <w:pPr>
        <w:pStyle w:val="ListBullet"/>
      </w:pPr>
      <w:r>
        <w:t>Attribution claims limited to available evidence.</w:t>
      </w:r>
    </w:p>
    <w:p>
      <w:pPr>
        <w:pStyle w:val="Heading2"/>
      </w:pPr>
      <w:r>
        <w:t>Operations</w:t>
      </w:r>
    </w:p>
    <w:p>
      <w:pPr>
        <w:pStyle w:val="ListBullet"/>
      </w:pPr>
      <w:r>
        <w:t>Installation standard documented.</w:t>
      </w:r>
    </w:p>
    <w:p>
      <w:pPr>
        <w:pStyle w:val="ListBullet"/>
      </w:pPr>
      <w:r>
        <w:t>Venue contacts recorded.</w:t>
      </w:r>
    </w:p>
    <w:p>
      <w:pPr>
        <w:pStyle w:val="ListBullet"/>
      </w:pPr>
      <w:r>
        <w:t>Spare and replacement process ready.</w:t>
      </w:r>
    </w:p>
    <w:p>
      <w:pPr>
        <w:pStyle w:val="ListBullet"/>
      </w:pPr>
      <w:r>
        <w:t>Incident escalation defined.</w:t>
      </w:r>
    </w:p>
    <w:p>
      <w:pPr>
        <w:pStyle w:val="ListBullet"/>
      </w:pPr>
      <w:r>
        <w:t>Firmware and runtime update process controlled.</w:t>
      </w:r>
    </w:p>
    <w:p>
      <w:pPr>
        <w:pStyle w:val="Heading2"/>
      </w:pPr>
      <w:r>
        <w:t>Commercial controls</w:t>
      </w:r>
    </w:p>
    <w:p>
      <w:pPr>
        <w:pStyle w:val="ListBullet"/>
      </w:pPr>
      <w:r>
        <w:t>Billing process defined.</w:t>
      </w:r>
    </w:p>
    <w:p>
      <w:pPr>
        <w:pStyle w:val="ListBullet"/>
      </w:pPr>
      <w:r>
        <w:t>Venue payments reconciled.</w:t>
      </w:r>
    </w:p>
    <w:p>
      <w:pPr>
        <w:pStyle w:val="ListBullet"/>
      </w:pPr>
      <w:r>
        <w:t>Programmatic fees understood where applicable.</w:t>
      </w:r>
    </w:p>
    <w:p>
      <w:pPr>
        <w:pStyle w:val="ListBullet"/>
      </w:pPr>
      <w:r>
        <w:t>Contracts and prohibited categories reviewed.</w:t>
      </w:r>
    </w:p>
    <w:p>
      <w:pPr>
        <w:pStyle w:val="ListBullet"/>
      </w:pPr>
      <w:r>
        <w:t>Rollback and exit plans documented.</w:t>
      </w:r>
    </w:p>
    <w:p>
      <w:pPr>
        <w:pStyle w:val="Heading1"/>
      </w:pPr>
      <w:r>
        <w:t>Frequently asked questions</w:t>
      </w:r>
    </w:p>
    <w:p>
      <w:pPr>
        <w:pStyle w:val="Heading2"/>
      </w:pPr>
      <w:r>
        <w:t>What is a DOOH CMS?</w:t>
      </w:r>
    </w:p>
    <w:p>
      <w:r>
        <w:t>A DOOH CMS manages screens, media, playlists, schedules and device operations for an advertising network. A complete DOOH platform usually adds campaign management, inventory, proof of play, measurement and billing around the CMS.</w:t>
      </w:r>
    </w:p>
    <w:p>
      <w:pPr>
        <w:pStyle w:val="Heading2"/>
      </w:pPr>
      <w:r>
        <w:t>What is the difference between DOOH and digital signage?</w:t>
      </w:r>
    </w:p>
    <w:p>
      <w:r>
        <w:t>Digital signage can be used for any screen-based communication. DOOH is operated as advertising media, with campaigns, buyers, inventory, delivery requirements and reporting.</w:t>
      </w:r>
    </w:p>
    <w:p>
      <w:pPr>
        <w:pStyle w:val="Heading2"/>
      </w:pPr>
      <w:r>
        <w:t>How much does it cost to start a DOOH network?</w:t>
      </w:r>
    </w:p>
    <w:p>
      <w:r>
        <w:t>The cost depends on the number and type of screens, installation, connectivity, software, venue agreements, maintenance, measurement and sales model. A small standardised pilot is usually safer than committing to a large network before demand is proven.</w:t>
      </w:r>
    </w:p>
    <w:p>
      <w:pPr>
        <w:pStyle w:val="Heading2"/>
      </w:pPr>
      <w:r>
        <w:t>Can I start with consumer televisions?</w:t>
      </w:r>
    </w:p>
    <w:p>
      <w:r>
        <w:t>Consumer displays can work in some controlled indoor pilots, but commercial displays generally provide more predictable duty cycles, remote management, orientation support and warranty conditions. Assess total operating cost rather than purchase price alone.</w:t>
      </w:r>
    </w:p>
    <w:p>
      <w:pPr>
        <w:pStyle w:val="Heading2"/>
      </w:pPr>
      <w:r>
        <w:t>Do I need programmatic advertising?</w:t>
      </w:r>
    </w:p>
    <w:p>
      <w:r>
        <w:t>No. Many networks begin with direct sales. Programmatic can expand demand and automate transactions, but it adds fees, technical integrations, creative controls and reporting complexity.</w:t>
      </w:r>
    </w:p>
    <w:p>
      <w:pPr>
        <w:pStyle w:val="Heading2"/>
      </w:pPr>
      <w:r>
        <w:t>What is proof of play?</w:t>
      </w:r>
    </w:p>
    <w:p>
      <w:r>
        <w:t>Proof of play is a record that a specific creative played on a specific screen at a recorded time. It should be distinguished from scheduling, downloading and audience measurement.</w:t>
      </w:r>
    </w:p>
    <w:p>
      <w:pPr>
        <w:pStyle w:val="Heading2"/>
      </w:pPr>
      <w:r>
        <w:t>How do DOOH networks make money?</w:t>
      </w:r>
    </w:p>
    <w:p>
      <w:r>
        <w:t>Networks may sell fixed placements, campaign packages, sponsorships, share of voice, impression-based inventory or programmatic inventory. Some also charge venues or brands for content and software services.</w:t>
      </w:r>
    </w:p>
    <w:p>
      <w:pPr>
        <w:pStyle w:val="Heading2"/>
      </w:pPr>
      <w:r>
        <w:t>Can a normal signage CMS manage advertising?</w:t>
      </w:r>
    </w:p>
    <w:p>
      <w:r>
        <w:t>A standard CMS can manage media, screens and schedules. Advertising networks usually need additional campaign, inventory, pacing, proof-of-play, measurement and billing capabilities.</w:t>
      </w:r>
    </w:p>
    <w:p>
      <w:pPr>
        <w:pStyle w:val="Heading2"/>
      </w:pPr>
      <w:r>
        <w:t>How many screens should I start with?</w:t>
      </w:r>
    </w:p>
    <w:p>
      <w:r>
        <w:t>Start with enough screens to test the venue model and attract a real advertiser, but few enough that support and failure recovery remain manageable. The right number depends on location quality and audience concentration, not a universal threshold.</w:t>
      </w:r>
    </w:p>
    <w:p>
      <w:pPr>
        <w:pStyle w:val="Heading2"/>
      </w:pPr>
      <w:r>
        <w:t>Can TomorrowOS power a DOOH platform?</w:t>
      </w:r>
    </w:p>
    <w:p>
      <w:r>
        <w:t>TomorrowOS can provide reusable digital-signage infrastructure beneath a custom DOOH product. The operator still needs to build or integrate commercial systems such as advertiser management, inventory, measurement, billing and programmatic demand.</w:t>
      </w:r>
    </w:p>
    <w:p>
      <w:pPr>
        <w:pStyle w:val="Heading2"/>
      </w:pPr>
      <w:r>
        <w:t>How are DOOH impressions measured?</w:t>
      </w:r>
    </w:p>
    <w:p>
      <w:r>
        <w:t>Methods can include traffic counts, footfall, dwell time, visibility modelling, mobile movement data, sensors and market measurement currencies. The chosen methodology should be transparent about data sources and assumptions.</w:t>
      </w:r>
    </w:p>
    <w:p>
      <w:pPr>
        <w:pStyle w:val="Heading2"/>
      </w:pPr>
      <w:r>
        <w:t>What should I validate before scaling?</w:t>
      </w:r>
    </w:p>
    <w:p>
      <w:r>
        <w:t>Validate venue rights, audience value, campaign demand, playback reliability, offline recovery, proof of play, reporting, support effort and unit economics before adding large numbers of screens.</w:t>
      </w:r>
    </w:p>
    <w:p>
      <w:pPr>
        <w:pStyle w:val="Heading1"/>
      </w:pPr>
      <w:r>
        <w:t>Next steps</w:t>
      </w:r>
    </w:p>
    <w:p>
      <w:r>
        <w:t>A successful DOOH network is not defined by the number of screens installed. It is defined by the value of the audience, the reliability of delivery, the quality of reporting and the ability to operate each location sustainably.</w:t>
      </w:r>
    </w:p>
    <w:p>
      <w:r>
        <w:t>Start by proving one repeatable venue and audience model. Build the minimum technology required to deliver and evidence real campaigns. Standardise the operating workflow, then expand the commercial and programmatic layers only when the foundation is reliable.</w:t>
      </w:r>
    </w:p>
    <w:p>
      <w:r>
        <w:t>TomorrowOS provides open-source server-to-screen infrastructure for teams that want to build and own their DOOH product without independently recreating every device, playback and platform capability.</w:t>
      </w:r>
    </w:p>
    <w:p>
      <w:pPr>
        <w:pStyle w:val="ListBullet"/>
      </w:pPr>
      <w:r>
        <w:t>Start Building - begin a new TomorrowOS project.</w:t>
      </w:r>
    </w:p>
    <w:p>
      <w:pPr>
        <w:pStyle w:val="ListBullet"/>
      </w:pPr>
      <w:r>
        <w:t>Documentation - review implementation and API guidance.</w:t>
      </w:r>
    </w:p>
    <w:p>
      <w:pPr>
        <w:pStyle w:val="ListBullet"/>
      </w:pPr>
      <w:r>
        <w:t>GitHub - explore the source code, releases and discussions.</w:t>
      </w:r>
    </w:p>
    <w:p>
      <w:pPr>
        <w:pStyle w:val="ListBullet"/>
      </w:pPr>
      <w:r>
        <w:t>How to Build a Digital Signage CMS - understand the underlying CMS and runtime architecture.</w:t>
      </w:r>
    </w:p>
    <w:p>
      <w:r>
        <w:br w:type="page"/>
      </w:r>
    </w:p>
    <w:p>
      <w:pPr>
        <w:pStyle w:val="Heading1"/>
      </w:pPr>
      <w:r>
        <w:t>Primary source notes</w:t>
      </w:r>
    </w:p>
    <w:p>
      <w:r>
        <w:rPr>
          <w:b/>
        </w:rPr>
        <w:t xml:space="preserve">OAAA: Out of Home Advertising Revenue Reaches Record $9.46 Billion: </w:t>
      </w:r>
      <w:hyperlink r:id="rId9">
        <w:r>
          <w:rPr>
            <w:color w:val="2563EB"/>
            <w:u w:val="single"/>
          </w:rPr>
          <w:t>https://oaaa.org/news/out-of-home-advertising-revenue-reaches-record-9-46-billion/</w:t>
        </w:r>
      </w:hyperlink>
      <w:r>
        <w:br/>
        <w:t>Supports the 2025 U.S. OOH revenue context.</w:t>
      </w:r>
    </w:p>
    <w:p>
      <w:r>
        <w:rPr>
          <w:b/>
        </w:rPr>
        <w:t xml:space="preserve">OAAA: Q1 2026 revenue and DOOH growth: </w:t>
      </w:r>
      <w:hyperlink r:id="rId10">
        <w:r>
          <w:rPr>
            <w:color w:val="2563EB"/>
            <w:u w:val="single"/>
          </w:rPr>
          <w:t>https://oaaa.org/news/ooh-hits-new-first-quarter-high-as-revenue-reaches-2-12-billion-driven-by-digital-growth-and-ai-brands/</w:t>
        </w:r>
      </w:hyperlink>
      <w:r>
        <w:br/>
        <w:t>Current context on DOOH growth and share of OOH revenue.</w:t>
      </w:r>
    </w:p>
    <w:p>
      <w:r>
        <w:rPr>
          <w:b/>
        </w:rPr>
        <w:t xml:space="preserve">IAB: Digital Out-of-Home Measurement Guide: </w:t>
      </w:r>
      <w:hyperlink r:id="rId11">
        <w:r>
          <w:rPr>
            <w:color w:val="2563EB"/>
            <w:u w:val="single"/>
          </w:rPr>
          <w:t>https://www.iab.com/guidelines/dooh-measurement-guide/</w:t>
        </w:r>
      </w:hyperlink>
      <w:r>
        <w:br/>
        <w:t>Supports the discussion of fragmented measurement practices and the need for consistent frameworks.</w:t>
      </w:r>
    </w:p>
    <w:p>
      <w:r>
        <w:rPr>
          <w:b/>
        </w:rPr>
        <w:t xml:space="preserve">IAB Tech Lab: DOOH integrated into OpenRTB: </w:t>
      </w:r>
      <w:hyperlink r:id="rId12">
        <w:r>
          <w:rPr>
            <w:color w:val="2563EB"/>
            <w:u w:val="single"/>
          </w:rPr>
          <w:t>https://iabtechlab.com/dooh-integrated-into-openrtb/</w:t>
        </w:r>
      </w:hyperlink>
      <w:r>
        <w:br/>
        <w:t>Supports the statement that DOOH inventory is represented in OpenRTB for programmatic trading.</w:t>
      </w:r>
    </w:p>
    <w:p>
      <w:r>
        <w:rPr>
          <w:b/>
        </w:rPr>
        <w:t xml:space="preserve">World Out of Home Organization: Global OOH Audience Measurement Guidelines 2.0: </w:t>
      </w:r>
      <w:hyperlink r:id="rId13">
        <w:r>
          <w:rPr>
            <w:color w:val="2563EB"/>
            <w:u w:val="single"/>
          </w:rPr>
          <w:t>https://worldooh.org/audience-measurement-guidelines-2026</w:t>
        </w:r>
      </w:hyperlink>
      <w:r>
        <w:br/>
        <w:t>Supports transparent, rigorous audience-measurement principles.</w:t>
      </w:r>
    </w:p>
    <w:p>
      <w:r>
        <w:rPr>
          <w:b/>
        </w:rPr>
        <w:t xml:space="preserve">IAB: DOOH and In-Store Retail Media Playbook: </w:t>
      </w:r>
      <w:hyperlink r:id="rId14">
        <w:r>
          <w:rPr>
            <w:color w:val="2563EB"/>
            <w:u w:val="single"/>
          </w:rPr>
          <w:t>https://www.iab.com/wp-content/uploads/2024/05/IAB_DOOH_InStoreRetailMediaPlaybook_2024.pdf</w:t>
        </w:r>
      </w:hyperlink>
      <w:r>
        <w:br/>
        <w:t>Supports the relationship between in-store retail media, proof of play and sales measurement.</w:t>
      </w:r>
    </w:p>
    <w:p>
      <w:r>
        <w:br w:type="page"/>
      </w:r>
    </w:p>
    <w:p>
      <w:pPr>
        <w:pStyle w:val="Heading1"/>
      </w:pPr>
      <w:r>
        <w:t>Replit implementation master prompt</w:t>
      </w:r>
    </w:p>
    <w:p>
      <w:r>
        <w:t>You are working inside the existing production TomorrowOS website repository.</w:t>
      </w:r>
    </w:p>
    <w:p>
      <w:r>
        <w:t>Your task is to implement the second cornerstone article at the canonical root-level route:</w:t>
      </w:r>
    </w:p>
    <w:p>
      <w:r>
        <w:t>/how-to-start-a-dooh-network</w:t>
      </w:r>
    </w:p>
    <w:p>
      <w:r>
        <w:t>Use the attached Word document as the editorial and factual source of truth. Do not independently rewrite, shorten, expand or invent claims. Preserve the article wording while adapting it to the existing TomorrowOS editorial components and visual system.</w:t>
      </w:r>
    </w:p>
    <w:p>
      <w:r>
        <w:t>GOAL</w:t>
        <w:br/>
        <w:t>Create a premium, evidence-led guide for founders, media operators, venue networks and software teams researching how to start a digital out-of-home network. The page must educate first, clearly distinguish a signage CMS from the broader DOOH platform, and position TomorrowOS only in the infrastructure section.</w:t>
      </w:r>
    </w:p>
    <w:p>
      <w:r>
        <w:t>SAFETY RULES</w:t>
        <w:br/>
        <w:t>- Do not modify the homepage, About, guides, compatibility pages or Learn feature flag.</w:t>
        <w:br/>
        <w:t>- Do not add dependencies, MDX, a CMS, search, runtime data fetching or global design changes.</w:t>
        <w:br/>
        <w:t>- Do not create unfinished supporting article routes.</w:t>
        <w:br/>
        <w:t>- Do not invent market statistics, product capabilities, platform support or customer outcomes.</w:t>
        <w:br/>
        <w:t>- Do not publish or deploy.</w:t>
        <w:br/>
        <w:t>- Create a reversible checkpoint before changes.</w:t>
      </w:r>
    </w:p>
    <w:p>
      <w:r>
        <w:t>ROUTE AND BLOG INTEGRATION</w:t>
        <w:br/>
        <w:t>- Add /how-to-start-a-dooh-network as a lazy, prerendered, indexable route.</w:t>
        <w:br/>
        <w:t>- Register it in App routing, SEO config, prerender table, smoke coverage, route-sync validation and mirror-host configuration where required.</w:t>
        <w:br/>
        <w:t>- Add it to src/lib/blogArticles.ts as a published article.</w:t>
        <w:br/>
        <w:t>- Category: DOOH and Retail Media. If the current BlogCategory type does not include this category, extend it conservatively and update only the components that derive their categories from the typed source.</w:t>
        <w:br/>
        <w:t>- Mark featured: false unless the CMS cornerstone article is no longer featured. Only one article should be featured at a time.</w:t>
        <w:br/>
        <w:t>- Calculate reading time from final rendered word count.</w:t>
        <w:br/>
        <w:t>- Use TomorrowOS as author/publisher.</w:t>
      </w:r>
    </w:p>
    <w:p>
      <w:r>
        <w:t>METADATA</w:t>
        <w:br/>
        <w:t>Title: How to Start a DOOH Network | TomorrowOS</w:t>
        <w:br/>
        <w:t>Description: Learn how to start a digital out-of-home network, including locations, screens, CMS software, ad serving, proof of play, measurement, sales and operations.</w:t>
        <w:br/>
        <w:t>Canonical: https://tomorrowos.org/how-to-start-a-dooh-network</w:t>
        <w:br/>
        <w:t>H1: How to Start a DOOH Network</w:t>
        <w:br/>
        <w:t>Open Graph title: How to Start a DOOH Network</w:t>
        <w:br/>
        <w:t>Open Graph description: A practical guide to the technology, commercial model and operations required to build a digital out-of-home advertising network.</w:t>
      </w:r>
    </w:p>
    <w:p>
      <w:r>
        <w:t>STRUCTURED DATA</w:t>
        <w:br/>
        <w:t>Use Article or TechArticle, BreadcrumbList and FAQPage because the visible article contains FAQs. Match visible wording exactly. Do not add ratings, reviews, pricing or unsupported Product schema.</w:t>
      </w:r>
    </w:p>
    <w:p>
      <w:r>
        <w:t>ARTICLE LAYOUT</w:t>
        <w:br/>
        <w:t>Reuse the existing cornerstone article components created for /build-a-digital-signage-cms. Do not create a second article design system.</w:t>
      </w:r>
    </w:p>
    <w:p>
      <w:r>
        <w:t>Render in this order:</w:t>
        <w:br/>
        <w:t>1. Breadcrumbs: Home &gt; Blog &gt; How to Start a DOOH Network</w:t>
        <w:br/>
        <w:t>2. Category, H1, description, author, published date, updated date and reading time</w:t>
        <w:br/>
        <w:t>3. Direct-answer introduction</w:t>
        <w:br/>
        <w:t>4. Grouped 'In this guide' navigation</w:t>
        <w:br/>
        <w:t>5. Full article sections</w:t>
        <w:br/>
        <w:t>6. FAQs</w:t>
        <w:br/>
        <w:t>7. Primary source notes</w:t>
        <w:br/>
        <w:t>8. Related resources</w:t>
        <w:br/>
        <w:t>9. Closing CTA</w:t>
      </w:r>
    </w:p>
    <w:p>
      <w:r>
        <w:t>GROUPED TABLE OF CONTENTS</w:t>
        <w:br/>
        <w:t>Use grouped mode rather than listing every H2.</w:t>
      </w:r>
    </w:p>
    <w:p>
      <w:r>
        <w:t>01 Foundation</w:t>
        <w:br/>
        <w:t>- What is a DOOH network?</w:t>
        <w:br/>
        <w:t>- DOOH, digital signage and retail media</w:t>
        <w:br/>
        <w:t>- Choose the network model</w:t>
        <w:br/>
        <w:t>- Select locations and define the audience</w:t>
      </w:r>
    </w:p>
    <w:p>
      <w:r>
        <w:t>02 Commercial model</w:t>
        <w:br/>
        <w:t>- Build the commercial model</w:t>
        <w:br/>
        <w:t>- Manage inventory</w:t>
        <w:br/>
        <w:t>- Choose direct sales, programmatic or a hybrid</w:t>
      </w:r>
    </w:p>
    <w:p>
      <w:r>
        <w:t>03 Technology</w:t>
        <w:br/>
        <w:t>- Assemble the DOOH technology stack</w:t>
        <w:br/>
        <w:t>- What the DOOH CMS must provide</w:t>
        <w:br/>
        <w:t>- Design campaign and ad-serving logic</w:t>
        <w:br/>
        <w:t>- Build credible proof of play</w:t>
      </w:r>
    </w:p>
    <w:p>
      <w:r>
        <w:t>04 Measurement and operations</w:t>
        <w:br/>
        <w:t>- Define audience measurement</w:t>
        <w:br/>
        <w:t>- Select hardware and connectivity</w:t>
        <w:br/>
        <w:t>- Establish creative operations</w:t>
        <w:br/>
        <w:t>- Design operations before scaling</w:t>
        <w:br/>
        <w:t>- Legal, privacy and contractual requirements</w:t>
      </w:r>
    </w:p>
    <w:p>
      <w:r>
        <w:t>05 Build strategy</w:t>
        <w:br/>
        <w:t>- Build, buy or assemble the platform</w:t>
        <w:br/>
        <w:t>- Where TomorrowOS fits</w:t>
        <w:br/>
        <w:t>- A practical launch roadmap</w:t>
        <w:br/>
        <w:t>- DOOH network launch checklist</w:t>
      </w:r>
    </w:p>
    <w:p>
      <w:r>
        <w:t>VISUALS</w:t>
        <w:br/>
        <w:t>Use accessible HTML/CSS or inline SVG. No new diagram library.</w:t>
      </w:r>
    </w:p>
    <w:p>
      <w:r>
        <w:t>Required original diagrams:</w:t>
        <w:br/>
        <w:t>1. DOOH technology stack from advertisers to screens and proof of play.</w:t>
        <w:br/>
        <w:t>2. Proof-of-play lifecycle from campaign booking through reconciliation.</w:t>
        <w:br/>
        <w:t>3. TomorrowOS boundary diagram showing the custom DOOH product above the reusable infrastructure layer.</w:t>
      </w:r>
    </w:p>
    <w:p>
      <w:r>
        <w:t>Required tables:</w:t>
        <w:br/>
        <w:t>1. DOOH versus digital signage versus retail media.</w:t>
        <w:br/>
        <w:t>2. Revenue models.</w:t>
        <w:br/>
        <w:t>3. Direct sales versus programmatic DOOH.</w:t>
        <w:br/>
        <w:t>4. Build/buy/assemble options.</w:t>
      </w:r>
    </w:p>
    <w:p>
      <w:r>
        <w:t>Use existing article callouts for:</w:t>
        <w:br/>
        <w:t>- Key distinction</w:t>
        <w:br/>
        <w:t>- Practical guidance</w:t>
        <w:br/>
        <w:t>- Do not assume passive income</w:t>
        <w:br/>
        <w:t>- Proof-of-play distinction</w:t>
        <w:br/>
        <w:t>- Measurement rule</w:t>
        <w:br/>
        <w:t>- Playback context matters</w:t>
        <w:br/>
        <w:t>- Current product truth</w:t>
      </w:r>
    </w:p>
    <w:p>
      <w:r>
        <w:t>EDITORIAL UX</w:t>
        <w:br/>
        <w:t>- Keep prose width approximately 680-780px.</w:t>
        <w:br/>
        <w:t>- Allow diagrams and tables to use a wider container.</w:t>
        <w:br/>
        <w:t>- Do not turn every section into cards.</w:t>
        <w:br/>
        <w:t>- Use short paragraphs, readable tables, checklists and restrained callouts.</w:t>
        <w:br/>
        <w:t>- On mobile, convert wide tables to accessible stacked records or provide an obvious horizontal-scroll affordance without page overflow.</w:t>
        <w:br/>
        <w:t>- Use grouped TOC on desktop and native details/summary on mobile.</w:t>
      </w:r>
    </w:p>
    <w:p>
      <w:r>
        <w:t>LINKS</w:t>
        <w:br/>
        <w:t>Use only live destinations:</w:t>
        <w:br/>
        <w:t>- /blog</w:t>
        <w:br/>
        <w:t>- /build-a-digital-signage-cms</w:t>
        <w:br/>
        <w:t>- /start</w:t>
        <w:br/>
        <w:t>- current TomorrowOS documentation</w:t>
        <w:br/>
        <w:t>- current TomorrowOS GitHub organisation or relevant repositories</w:t>
        <w:br/>
        <w:t>Do not link to unfinished compatibility or future pillar routes.</w:t>
      </w:r>
    </w:p>
    <w:p>
      <w:r>
        <w:t>SOURCES</w:t>
        <w:br/>
        <w:t>Create a visible, restrained 'Primary sources' section using the source URLs supplied in the Word document. External links must use the existing external-link treatment. The sources support market context, measurement and OpenRTB statements. Do not imply they endorse TomorrowOS.</w:t>
      </w:r>
    </w:p>
    <w:p>
      <w:r>
        <w:t>PRODUCT TRUTH</w:t>
        <w:br/>
        <w:t>Before implementation, verify:</w:t>
        <w:br/>
        <w:t>- TomorrowOS product description</w:t>
        <w:br/>
        <w:t>- Apache 2.0 licence if mentioned</w:t>
        <w:br/>
        <w:t>- current SDK package name</w:t>
        <w:br/>
        <w:t>- current Start Building URL</w:t>
        <w:br/>
        <w:t>- current docs URL</w:t>
        <w:br/>
        <w:t>- current GitHub URL</w:t>
        <w:br/>
        <w:t>- current infrastructure capabilities described in the TomorrowOS section</w:t>
        <w:br/>
        <w:t>If the article conflicts with current repository truth, report the conflict and use the more conservative wording. Do not silently invent or strengthen a claim.</w:t>
      </w:r>
    </w:p>
    <w:p>
      <w:r>
        <w:t>SEO AND AI DISCOVERABILITY</w:t>
        <w:br/>
        <w:t>- Keep all article content in prerendered HTML.</w:t>
        <w:br/>
        <w:t>- Ensure one H1 and logical H2/H3 structure.</w:t>
        <w:br/>
        <w:t>- Use a direct answer in the opening screen.</w:t>
        <w:br/>
        <w:t>- Preserve unique diagrams, tables and definitions.</w:t>
        <w:br/>
        <w:t>- Avoid keyword stuffing and artificial AI-only formatting.</w:t>
        <w:br/>
        <w:t>- Add the article to the sitemap after all reviews pass.</w:t>
        <w:br/>
        <w:t>- Keep normal crawler policy unchanged.</w:t>
        <w:br/>
        <w:t>- Do not add llms.txt or special AI markup.</w:t>
      </w:r>
    </w:p>
    <w:p>
      <w:r>
        <w:t>ACCESSIBILITY</w:t>
        <w:br/>
        <w:t>Verify semantic article structure, labelled TOC navigation, visible focus, accessible external links, table headers, mobile record parity, diagram descriptions, FAQ keyboard access, 200% zoom and no horizontal overflow at 320px.</w:t>
      </w:r>
    </w:p>
    <w:p>
      <w:r>
        <w:t>TESTS</w:t>
        <w:br/>
        <w:t>Run TypeScript, prototype build, production build, SEO validation, social validation, route-sync validation, dev and production smoke tests, static HTML inspection, schema validation, link validation, screenshots at 1440/1280/1024/768/390/320, keyboard review, 200% zoom, no-overflow tests and representative regression checks.</w:t>
      </w:r>
    </w:p>
    <w:p>
      <w:r>
        <w:t>FINAL REPORT</w:t>
        <w:br/>
        <w:t>Return:</w:t>
        <w:br/>
        <w:t>1. Executive summary</w:t>
        <w:br/>
        <w:t>2. Word count and reading time</w:t>
        <w:br/>
        <w:t>3. Route and Blog integration</w:t>
        <w:br/>
        <w:t>4. Component reuse</w:t>
        <w:br/>
        <w:t>5. Diagram and table inventory</w:t>
        <w:br/>
        <w:t>6. Internal and external links</w:t>
        <w:br/>
        <w:t>7. Product-truth review</w:t>
        <w:br/>
        <w:t>8. Metadata and structured data</w:t>
        <w:br/>
        <w:t>9. Indexing and sitemap changes</w:t>
        <w:br/>
        <w:t>10. Accessibility and responsive results</w:t>
        <w:br/>
        <w:t>11. Performance comparison</w:t>
        <w:br/>
        <w:t>12. Test results</w:t>
        <w:br/>
        <w:t>13. Regression review</w:t>
        <w:br/>
        <w:t>14. Human sign-off list</w:t>
        <w:br/>
        <w:t>15. Known limitations</w:t>
        <w:br/>
        <w:t>16. Rollback instructions</w:t>
        <w:br/>
        <w:t>17. Publish-readiness recommendation</w:t>
      </w:r>
    </w:p>
    <w:p>
      <w:r>
        <w:t>Do not deploy. Finish by confirming the page is ready for editorial, commercial and technical review.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360" w:right="36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aaa.org/news/out-of-home-advertising-revenue-reaches-record-9-46-billion/" TargetMode="External"/><Relationship Id="rId10" Type="http://schemas.openxmlformats.org/officeDocument/2006/relationships/hyperlink" Target="https://oaaa.org/news/ooh-hits-new-first-quarter-high-as-revenue-reaches-2-12-billion-driven-by-digital-growth-and-ai-brands/" TargetMode="External"/><Relationship Id="rId11" Type="http://schemas.openxmlformats.org/officeDocument/2006/relationships/hyperlink" Target="https://www.iab.com/guidelines/dooh-measurement-guide/" TargetMode="External"/><Relationship Id="rId12" Type="http://schemas.openxmlformats.org/officeDocument/2006/relationships/hyperlink" Target="https://iabtechlab.com/dooh-integrated-into-openrtb/" TargetMode="External"/><Relationship Id="rId13" Type="http://schemas.openxmlformats.org/officeDocument/2006/relationships/hyperlink" Target="https://worldooh.org/audience-measurement-guidelines-2026" TargetMode="External"/><Relationship Id="rId14" Type="http://schemas.openxmlformats.org/officeDocument/2006/relationships/hyperlink" Target="https://www.iab.com/wp-content/uploads/2024/05/IAB_DOOH_InStoreRetailMediaPlaybook_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