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369A1"/>
          <w:sz w:val="22"/>
        </w:rPr>
        <w:t>ROMTEK CORTEX · 用户文档</w:t>
      </w:r>
    </w:p>
    <w:p>
      <w:pPr>
        <w:spacing w:after="40"/>
      </w:pPr>
      <w:r>
        <w:rPr>
          <w:rFonts w:ascii="Segoe UI Semibold" w:hAnsi="Segoe UI Semibold" w:eastAsia="Segoe UI Semibold"/>
          <w:b/>
          <w:i w:val="0"/>
          <w:color w:val="6D35D6"/>
          <w:sz w:val="76"/>
        </w:rPr>
        <w:t>RLab Cortex</w:t>
      </w:r>
    </w:p>
    <w:p>
      <w:pPr>
        <w:spacing w:after="80"/>
        <w:pBdr>
          <w:bottom w:val="single" w:sz="14" w:space="4" w:color="6D35D6"/>
        </w:pBdr>
      </w:pPr>
      <w:r>
        <w:rPr>
          <w:rFonts w:ascii="微软雅黑" w:hAnsi="微软雅黑" w:eastAsia="微软雅黑"/>
          <w:b/>
          <w:i w:val="0"/>
          <w:color w:val="121B2A"/>
          <w:sz w:val="44"/>
        </w:rPr>
        <w:t>产品使用手册</w:t>
      </w:r>
    </w:p>
    <w:p>
      <w:pPr>
        <w:spacing w:before="200" w:after="400" w:line="384" w:lineRule="auto"/>
      </w:pPr>
      <w:r>
        <w:rPr>
          <w:rFonts w:ascii="微软雅黑" w:hAnsi="微软雅黑" w:eastAsia="微软雅黑"/>
          <w:b w:val="0"/>
          <w:i w:val="0"/>
          <w:color w:val="556474"/>
          <w:sz w:val="25"/>
        </w:rPr>
        <w:t>面向使用者的操作指南：从登录、上传数据、对话分析，到调用算法、扩展工具、出图与导出，一步步把 RLab Cortex 用起来。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33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1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RLab Cortex 起始页：拖入数据即可开始分析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4608"/>
          </w:tcPr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适用版本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v1.0.0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产品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RLab Cortex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形态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Web 应用，可私有化部署</w:t>
            </w:r>
          </w:p>
        </w:tc>
        <w:tc>
          <w:tcPr>
            <w:tcW w:type="dxa" w:w="4608"/>
          </w:tcPr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适用对象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工程师 / 科研人员 / 试用专家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出品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RLab · Cortex 智能体矩阵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98A6"/>
                <w:sz w:val="18"/>
              </w:rPr>
              <w:t xml:space="preserve">文档版本　</w:t>
            </w: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v1.0 ｜ 2026-06</w:t>
            </w:r>
          </w:p>
        </w:tc>
      </w:tr>
    </w:tbl>
    <w:p>
      <w:r>
        <w:br w:type="page"/>
      </w:r>
    </w:p>
    <w:p>
      <w:pPr>
        <w:pBdr>
          <w:bottom w:val="single" w:sz="10" w:space="4" w:color="6D35D6"/>
        </w:pBdr>
        <w:spacing w:after="120"/>
      </w:pPr>
      <w:r>
        <w:rPr>
          <w:rFonts w:ascii="微软雅黑" w:hAnsi="微软雅黑" w:eastAsia="微软雅黑"/>
          <w:b/>
          <w:i w:val="0"/>
          <w:color w:val="6D35D6"/>
          <w:sz w:val="32"/>
        </w:rPr>
        <w:t>目　录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01　产品简介与界面总览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02　快速开始：五分钟跑通第一份分析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03　数据接入与数据集管理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04　对话式分析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05　算法库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06　扩展你自己的算法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07　流程模板（可复用小应用）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08　可视化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09　设置与大模型（BYOK）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10　反馈、版本与产品文档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11　常见问题（FAQ）</w:t>
      </w:r>
    </w:p>
    <w:p>
      <w:pPr>
        <w:spacing w:after="100"/>
        <w:ind w:left="170"/>
      </w:pPr>
      <w:r>
        <w:rPr>
          <w:rFonts w:ascii="微软雅黑" w:hAnsi="微软雅黑" w:eastAsia="微软雅黑"/>
          <w:b w:val="0"/>
          <w:i w:val="0"/>
          <w:color w:val="121B2A"/>
          <w:sz w:val="22"/>
        </w:rPr>
        <w:t>附录　内置算法速查表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01　产品简介与界面总览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RLab Cortex 是一款面向工程师与科研人员的可验证数据分析智能体：把任意格式的数据拖进来，AI 自动读懂，用内置算法、你自己的代码或 AI 现场生成的工具完成分析，每一步都可追溯、可复算，并能沉淀为团队可复用的资产。本手册介绍如何把它用起来。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界面总览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登录后进入工作台。左侧是图标导航栏，在以下视图之间切换；右侧为当前视图的工作区。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1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左侧导航的六个主视图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3173"/>
        <w:gridCol w:w="3173"/>
        <w:gridCol w:w="3173"/>
      </w:tblGrid>
      <w:tr>
        <w:tc>
          <w:tcPr>
            <w:tcW w:type="dxa" w:w="1584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视图</w:t>
            </w:r>
          </w:p>
        </w:tc>
        <w:tc>
          <w:tcPr>
            <w:tcW w:type="dxa" w:w="2736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作用</w:t>
            </w:r>
          </w:p>
        </w:tc>
        <w:tc>
          <w:tcPr>
            <w:tcW w:type="dxa" w:w="4896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你在这里做什么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对话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对话式分析智能体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用自然语言提问，让 AI 选数据、选方法、出图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数据集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数据接入与管理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上传文件、查看字段与血缘、预览与导出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算法库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内置 + 自有 + AI 算法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浏览 29 个内置算法、配参试运行、上传或 AI 生成新算法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流程模板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可复用分析流程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把跑通的流程存为模板，换数据一键复跑（运行·小程序）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反馈收件箱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管理员专用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集中查看与分流用户反馈（仅管理员可见）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设置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账号与大模型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配置 BYOK 大模型、查看版本/更新日志/产品文档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6D35D6"/>
          </w:tcPr>
          <w:p/>
        </w:tc>
        <w:tc>
          <w:tcPr>
            <w:tcW w:type="dxa" w:w="9072"/>
            <w:shd w:val="clear" w:color="auto" w:fill="F1ECFB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21"/>
              </w:rPr>
              <w:t>提示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右下角常驻「反馈」按钮在任意视图都能点：随手记录“做不到 / 做错了 / 不敢信 / 想法”，会自动带上当前上下文。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02　快速开始：五分钟跑通第一份分析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不需要任何配置，跟着下面五步即可完成第一份可追溯的分析。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注册 / 登录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用邮箱和密码注册并登录，进入工作台。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准备数据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进入「数据集」，把 CSV / Excel 文件拖进上传区；或在「对话」起始页直接点一个示例场景（自带样例数据）。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用大白话提问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进入「对话」，例如输入“这几个参数里哪个对结果影响最大？”或“帮我把这列噪声平滑一下”。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看 AI 动手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智能体会自动判断输入/输出列、挑选合适的算法并执行，右侧实时显示每一步的想法、调用与结果。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5.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得到结论与图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AI 给出带数值的结论与图表；每一步都可回看，结果可继续作为下一步输入，或存为流程模板复用。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0369A1"/>
          </w:tcPr>
          <w:p/>
        </w:tc>
        <w:tc>
          <w:tcPr>
            <w:tcW w:type="dxa" w:w="9072"/>
            <w:shd w:val="clear" w:color="auto" w:fill="EAF2F8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21"/>
              </w:rPr>
              <w:t>无需记任何算法名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你只描述意图（“平滑”“找异常”“看关联”“降维”），由智能体决定用 Savitzky-Golay、IQR、PCA 还是别的方法——这正是产品的设计取向。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03　数据接入与数据集管理</w:t>
      </w:r>
    </w:p>
    <w:p>
      <w:pPr>
        <w:spacing w:after="20"/>
      </w:pP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支持的格式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表格数据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CSV、TSV、Excel（.xlsx/.xls，多工作表自动拆成多个数据集）、Parquet、JSON。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仿真 / 网格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CGNS、VTK、STL（经 VTK 解析为点 + 场数据）；Tecplot ASCII 探针数据自动识别。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任意私有格式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若不被原生支持，可让 AI 现场生成解析器，确认后保存为该扩展名的适配器，长期复用。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上传与首读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进入「数据集」→ 把文件拖入上传区，或点击选择文件。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上传后系统立即给出无需大模型的「首读 Profile」：它是什么、字段类型、缺失情况，以及建议的下一步。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遇到不认识的格式时，会提示生成自定义解析器：试解析 → 你确认结果无误 → 保存适配器。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字段、血缘与导出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字段结构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列名、类型、唯一值数、缺失数，以及前若干行预览。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数据血缘（lineage）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每个派生数据集都记录“由哪个上游数据、经过哪一步算法而来”，可逐级回溯到原始文件。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派生与保留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分析产生的中间结果会作为带血缘的派生数据集；未钉住的派生集会在宽限期后自动回收，重要的可「保留」钉住。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导出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数据集与结果可导出，便于落地到报告或其他工具。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359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2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数据集预览：自动识别字段、绘制多通道时序曲线，并给出字段结构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04　对话式分析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「对话」是使用 RLab Cortex 最主要的方式。你用自然语言描述意图，智能体在一轮里完成“理解—选工具—执行—呈现”。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怎么提问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直接说目标，不必指定算法。例如：“哪个输入对输出影响最大？”“两个量之间有规律吗？”“有没有异常点？”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起始页提供一组场景启动器（信号去噪 / 影响因素 / 拟合关系 / 异常检测 / 关联分析 / 降维），每个都带样例数据，点一下即可体验。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可在对话中指定数据集；也可同时选多个数据集做对比。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流水线与追问续接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自动组流水线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同一轮里，一个工具的输出会自动接到下一个工具的输入，组成可见的处理流水线。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跨轮续接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系统记住上一阶段结果，你再说“在这个基础上再插值一下”，会接着上一步继续，而不是回到原始数据。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全程留痕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想法、工具调用、工具结果、最终答复逐条显示并落库，事后可完整回放，定位到具体某一步。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6D35D6"/>
          </w:tcPr>
          <w:p/>
        </w:tc>
        <w:tc>
          <w:tcPr>
            <w:tcW w:type="dxa" w:w="9072"/>
            <w:shd w:val="clear" w:color="auto" w:fill="F1ECFB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6D35D6"/>
                <w:sz w:val="21"/>
              </w:rPr>
              <w:t>结果可信，是因为可复核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对话给出的不只是一个数字，而是一条可回放的链路：用了哪个数据、走了哪几步、每步什么参数。评审时复核链路即可。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05　算法库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「算法库」收录 29 个内置算法，按类别浏览，可在线配参、试运行，并把结果存为流程模板。详细清单见文末附录。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2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内置算法的六大类别（合计 29 个）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2160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6768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包含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结构整理（4）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转置、派生列、删列、分组聚合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预处理（3）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归一化、缺失填充、异常检测（IQR / Z-score / Dixon）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滤波与信号（7）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巴特沃斯 / 高斯 / 中值 / 移动平均 / Savitzky-Golay 滤波、FFT 频谱、寻峰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回归与拟合（5）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线性 / 多项式回归、曲线拟合、相关性、插值（含 RBF）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降维与分析（3）</w:t>
            </w:r>
          </w:p>
        </w:tc>
        <w:tc>
          <w:tcPr>
            <w:tcW w:type="dxa" w:w="67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PCA（线性 / 核）、灵敏度排序、K-means 聚类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使用步骤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进入「算法库」→ 按类别筛选，点选一个算法。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在右侧表单填参数；不确定时可让 AI 根据你的数据与意图建议参数。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选一个数据集，点运行；查看结果摘要（如 R²、RMSE、主频、解释方差等）。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满意的话，可把这步或整条流程存为流程模板，便于以后复用。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92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3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算法库：29 个内置算法按类别浏览，可在线配参与试运行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06　扩展你自己的算法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RLab Cortex 可以“自我扩展”：把你信赖的代码搬进来，或让 AI 现场生成新工具。所有外来代码都先经安全沙箱验证，再成为可复用的能力。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两条途径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上传自有算法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把你的 Python 方法整理为 run(df, **params) + META 形态上传；通过静态校验与测试后入库，即可在对话中调用、被流程模板编排、并可版本化。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用 AI 生成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在「算法库 → 用 AI 生成」里用自然语言描述需求，系统按安全工具规范写出 Python、在沙箱跑通验证，你确认后才保存。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安全沙箱（你不需要操作，但值得了解）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外来代码绝不在服务主进程执行，而是落到隔离子进程；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只放行 numpy / pandas / scipy / sklearn 等科学计算库，禁用文件、网络、危险内建；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运行设有墙钟超时、CPU 与内存上限、输出截断；大模型密钥对沙箱不可见。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807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0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4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用 AI 生成算法：描述需求 → 沙箱跑通验证 → 确认入库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07　流程模板（可复用小应用）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把一段跑通的分析固化为流程模板，换一份数据即可整套复跑——相当于把“某位专家的标准作业流程”做成人人可用的小应用。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常用操作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在对话或算法库里跑通一段分析后，将其保存为流程模板（记录有序的步骤：动作 + 算法 + 参数）。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在「流程模板」里用可视化画布（FlowCanvas）增删步骤、调整顺序、修改参数。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用「运行·小程序」模式：选择数据集、按需覆盖运行时参数，点运行即可整套复跑。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每一步可选物化为带血缘的派生数据集，便于回溯与继续分析。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364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6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5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流程模板的“运行·小程序”模式：换数据即跑，非专家也能一键复用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08　可视化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分析过程中可随时出图。基础图表在前端即可交互调整，复杂图表由 AI 现场生成。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3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可视化能力一览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2448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能力</w:t>
            </w:r>
          </w:p>
        </w:tc>
        <w:tc>
          <w:tcPr>
            <w:tcW w:type="dxa" w:w="6480"/>
            <w:shd w:val="clear" w:color="auto" w:fill="0369A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内置交互图表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折线 / 散点 / 柱状，支持在前端切换 x/y/系列、对长数据自动下采样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AI 生成图表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雷达 / 极坐标、热力、等高线、3D 曲面 / 散点、箱线 / 小提琴、平行坐标、桑基等任意图形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多数据集叠加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把同名指标跨多个数据集叠加到一张图上对比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批量出图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按数据集或按列一次生成多张图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9"/>
              </w:rPr>
              <w:t>3D / 网格</w:t>
            </w:r>
          </w:p>
        </w:tc>
        <w:tc>
          <w:tcPr>
            <w:tcW w:type="dxa" w:w="64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9"/>
              </w:rPr>
              <w:t>对 CGNS / VTK 等网格数据用 3D 查看器渲染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09　设置与大模型（BYOK）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RLab Cortex 默认使用内置大模型即可工作。若希望走你自己的模型与密钥（数据与模型不出内网、或控制成本），可在「设置」里配置 BYOK（Bring Your Own Key）。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配置步骤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进入「设置」→「LLM 服务商（自带 Key）」。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选择服务商：DeepSeek、通义千问（DashScope）、OpenAI，或「Custom」填任意 OpenAI 兼容端点。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确认 Base URL，选择或填写模型名（如 deepseek-chat）。</w:t>
      </w:r>
    </w:p>
    <w:p>
      <w:pPr>
        <w:spacing w:after="80" w:line="348" w:lineRule="auto"/>
        <w:ind w:left="454" w:hanging="454"/>
      </w:pPr>
      <w:r>
        <w:rPr>
          <w:rFonts w:ascii="微软雅黑" w:hAnsi="微软雅黑" w:eastAsia="微软雅黑"/>
          <w:b/>
          <w:i w:val="0"/>
          <w:color w:val="0369A1"/>
          <w:sz w:val="18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填入 API Key（已配置过则可留空保持原值），点「保存」。下一条消息即生效，无需重启。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032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3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rFonts w:ascii="微软雅黑" w:hAnsi="微软雅黑" w:eastAsia="微软雅黑"/>
          <w:b/>
          <w:i w:val="0"/>
          <w:color w:val="8A98A6"/>
          <w:sz w:val="17"/>
        </w:rPr>
        <w:t xml:space="preserve">图 </w:t>
      </w:r>
      <w:r>
        <w:rPr>
          <w:rFonts w:ascii="微软雅黑" w:hAnsi="微软雅黑" w:eastAsia="微软雅黑"/>
          <w:b/>
          <w:color w:val="8A98A6"/>
          <w:sz w:val="17"/>
        </w:rPr>
        <w:fldChar w:fldCharType="begin"/>
        <w:instrText xml:space="preserve"> SEQ Figure \* ARABIC </w:instrText>
        <w:fldChar w:fldCharType="separate"/>
        <w:t>6</w:t>
        <w:fldChar w:fldCharType="end"/>
      </w:r>
      <w:r>
        <w:rPr>
          <w:rFonts w:ascii="微软雅黑" w:hAnsi="微软雅黑" w:eastAsia="微软雅黑"/>
          <w:b w:val="0"/>
          <w:i/>
          <w:color w:val="8A98A6"/>
          <w:sz w:val="17"/>
        </w:rPr>
        <w:t xml:space="preserve">　BYOK 设置：在 DeepSeek / 通义千问 / OpenAI / 任意兼容端点之间切换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0369A1"/>
          </w:tcPr>
          <w:p/>
        </w:tc>
        <w:tc>
          <w:tcPr>
            <w:tcW w:type="dxa" w:w="9072"/>
            <w:shd w:val="clear" w:color="auto" w:fill="EAF2F8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21"/>
              </w:rPr>
              <w:t>提示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BYOK 让企业可以使用自建或指定的大模型，既满足合规要求，也避免“token 账单失控”的顾虑。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10　反馈、版本与产品文档</w:t>
      </w:r>
    </w:p>
    <w:p>
      <w:pPr>
        <w:spacing w:after="20"/>
      </w:pP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提交反馈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随手反馈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点右下角「反馈」按钮，选一类（做不到 / 做错了 / 不敢信 / 想法），写一句，Ctrl+Enter 发送；系统自动带上当前视图、会话、数据集、运行与可选截图。</w:t>
      </w:r>
    </w:p>
    <w:p>
      <w:pPr>
        <w:spacing w:after="80" w:line="348" w:lineRule="auto"/>
        <w:ind w:left="340" w:hanging="198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 xml:space="preserve">管理员收件箱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管理员可在「反馈收件箱」按状态（待处理 / 已查看 / 已完成）与类型分流，并跳回反馈发生的现场。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查看版本与更新日志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左侧导航栏底部常驻当前版本号（如 v1.0.0）；点它或进入「设置 →关于」，可查看当前版本与「更新日志」——即本版相比上一版的新增、优化与修复。</w:t>
      </w:r>
    </w:p>
    <w:p>
      <w:pPr>
        <w:pStyle w:val="Heading2"/>
        <w:keepNext/>
        <w:spacing w:before="220" w:after="60"/>
      </w:pPr>
      <w:r>
        <w:rPr>
          <w:rFonts w:ascii="微软雅黑" w:hAnsi="微软雅黑" w:eastAsia="微软雅黑"/>
          <w:b/>
          <w:color w:val="0369A1"/>
          <w:sz w:val="24"/>
        </w:rPr>
        <w:t>下载产品文档</w:t>
      </w: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在「设置 →关于 →产品文档」处，可直接下载《产品使用手册》（本文）与《产品白皮书》。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144"/>
            <w:shd w:val="clear" w:color="auto" w:fill="0369A1"/>
          </w:tcPr>
          <w:p/>
        </w:tc>
        <w:tc>
          <w:tcPr>
            <w:tcW w:type="dxa" w:w="9072"/>
            <w:shd w:val="clear" w:color="auto" w:fill="EAF2F8"/>
            <w:tcMar>
              <w:top w:w="110" w:type="dxa"/>
              <w:bottom w:w="110" w:type="dxa"/>
              <w:start w:w="200" w:type="dxa"/>
              <w:end w:w="16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0369A1"/>
                <w:sz w:val="21"/>
              </w:rPr>
              <w:t>版本号从哪来</w:t>
            </w:r>
          </w:p>
          <w:p>
            <w:pPr>
              <w:spacing w:after="0" w:line="34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20"/>
              </w:rPr>
              <w:t>版本号是后端的单一事实源（/api/health 与 /api/about 一致对外报告）；更新日志由结构化清单维护，并可用 tools/gen_changelog.py 从 git 提交自动起草新版本条目。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6D35D6"/>
        </w:pBdr>
      </w:pPr>
      <w:r>
        <w:rPr>
          <w:rFonts w:ascii="微软雅黑" w:hAnsi="微软雅黑" w:eastAsia="微软雅黑"/>
          <w:b/>
          <w:color w:val="6D35D6"/>
          <w:sz w:val="32"/>
        </w:rPr>
        <w:t>11　常见问题（FAQ）</w:t>
      </w:r>
    </w:p>
    <w:p>
      <w:pPr>
        <w:spacing w:after="20"/>
      </w:pP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Q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上传的文件格式不被支持怎么办？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A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让系统生成自定义解析器：它会试解析并给出预览，你确认无误后保存为该扩展名的适配器，之后同类文件自动套用。</w:t>
      </w: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Q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AI 选错了列或用错了方法怎么办？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A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在对话里直接纠正（“这列其实是电压”“改用保峰平滑”）；纠正可经反馈沉淀为可复用的规则，下次自动套用。</w:t>
      </w: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Q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结果可信吗？怎么核对？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A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每一步都可回放：用了哪个数据、走了哪几步、每步什么参数。复核这条链路即可，而不必盲信模型。</w:t>
      </w: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Q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我的私有算法安全吗？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A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外来代码只在隔离子进程中运行，禁用网络与文件访问，设有资源上限，且拿不到大模型密钥。</w:t>
      </w: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Q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可以私有化部署吗？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A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可以。系统支持从单机到 Kubernetes 的部署，数据与模型均可不出内网；详询交付方。</w:t>
      </w:r>
    </w:p>
    <w:p>
      <w:pPr>
        <w:spacing w:after="20" w:before="120"/>
      </w:pPr>
      <w:r>
        <w:rPr>
          <w:rFonts w:ascii="微软雅黑" w:hAnsi="微软雅黑" w:eastAsia="微软雅黑"/>
          <w:b/>
          <w:i w:val="0"/>
          <w:color w:val="6D35D6"/>
          <w:sz w:val="21"/>
        </w:rPr>
        <w:t xml:space="preserve">Q　</w:t>
      </w:r>
      <w:r>
        <w:rPr>
          <w:rFonts w:ascii="微软雅黑" w:hAnsi="微软雅黑" w:eastAsia="微软雅黑"/>
          <w:b/>
          <w:i w:val="0"/>
          <w:color w:val="121B2A"/>
          <w:sz w:val="21"/>
        </w:rPr>
        <w:t>怎么换成我们自己的大模型？</w:t>
      </w:r>
    </w:p>
    <w:p>
      <w:pPr>
        <w:spacing w:after="100" w:line="348" w:lineRule="auto"/>
        <w:ind w:left="397"/>
      </w:pPr>
      <w:r>
        <w:rPr>
          <w:rFonts w:ascii="微软雅黑" w:hAnsi="微软雅黑" w:eastAsia="微软雅黑"/>
          <w:b/>
          <w:i w:val="0"/>
          <w:color w:val="0369A1"/>
          <w:sz w:val="21"/>
        </w:rPr>
        <w:t xml:space="preserve">A　</w:t>
      </w:r>
      <w:r>
        <w:rPr>
          <w:rFonts w:ascii="微软雅黑" w:hAnsi="微软雅黑" w:eastAsia="微软雅黑"/>
          <w:b w:val="0"/>
          <w:i w:val="0"/>
          <w:color w:val="121B2A"/>
          <w:sz w:val="21"/>
        </w:rPr>
        <w:t>见第 9 章 BYOK：在设置里填入自有服务商、端点、模型与密钥即可。</w:t>
      </w:r>
    </w:p>
    <w:p>
      <w:r>
        <w:br w:type="page"/>
      </w:r>
    </w:p>
    <w:p>
      <w:pPr>
        <w:pStyle w:val="Heading1"/>
        <w:keepNext/>
        <w:spacing w:before="360" w:after="40"/>
        <w:pBdr>
          <w:bottom w:val="single" w:sz="10" w:space="4" w:color="0369A1"/>
        </w:pBdr>
      </w:pPr>
      <w:r>
        <w:rPr>
          <w:rFonts w:ascii="微软雅黑" w:hAnsi="微软雅黑" w:eastAsia="微软雅黑"/>
          <w:b/>
          <w:color w:val="0369A1"/>
          <w:sz w:val="32"/>
        </w:rPr>
        <w:t>附录　内置算法速查表</w:t>
      </w:r>
    </w:p>
    <w:p>
      <w:pPr>
        <w:spacing w:after="20"/>
      </w:pPr>
    </w:p>
    <w:p>
      <w:pPr>
        <w:spacing w:after="140" w:before="0" w:line="360" w:lineRule="auto"/>
        <w:ind w:firstLineChars="200" w:firstLine="420"/>
      </w:pPr>
      <w:r>
        <w:rPr>
          <w:rFonts w:ascii="微软雅黑" w:hAnsi="微软雅黑" w:eastAsia="微软雅黑"/>
          <w:b w:val="0"/>
          <w:i w:val="0"/>
          <w:color w:val="121B2A"/>
          <w:sz w:val="21"/>
        </w:rPr>
        <w:t>下表为 29 个内置算法的速查（slug 为系统内部标识）。用户上传与 AI 生成的算法会随使用持续增加，不在此列。</w:t>
      </w:r>
    </w:p>
    <w:p>
      <w:pPr>
        <w:keepNext/>
        <w:spacing w:before="160" w:after="60"/>
        <w:jc w:val="center"/>
      </w:pP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表 </w:t>
      </w:r>
      <w:r>
        <w:rPr>
          <w:rFonts w:ascii="微软雅黑" w:hAnsi="微软雅黑" w:eastAsia="微软雅黑"/>
          <w:b/>
          <w:color w:val="556474"/>
          <w:sz w:val="17"/>
        </w:rPr>
        <w:fldChar w:fldCharType="begin"/>
        <w:instrText xml:space="preserve"> SEQ Table \* ARABIC </w:instrText>
        <w:fldChar w:fldCharType="separate"/>
        <w:t>4</w:t>
        <w:fldChar w:fldCharType="end"/>
      </w:r>
      <w:r>
        <w:rPr>
          <w:rFonts w:ascii="微软雅黑" w:hAnsi="微软雅黑" w:eastAsia="微软雅黑"/>
          <w:b/>
          <w:i w:val="0"/>
          <w:color w:val="556474"/>
          <w:sz w:val="17"/>
        </w:rPr>
        <w:t xml:space="preserve">　内置算法速查表（29 个）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4EC"/>
          <w:bottom w:val="single" w:sz="4" w:space="0" w:color="D9E4EC"/>
          <w:left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4759"/>
        <w:gridCol w:w="4759"/>
      </w:tblGrid>
      <w:tr>
        <w:tc>
          <w:tcPr>
            <w:tcW w:type="dxa" w:w="1728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7200"/>
            <w:shd w:val="clear" w:color="auto" w:fill="6D35D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算法（中文 · slug）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结构整理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8"/>
              </w:rPr>
              <w:t>转置 transpose、派生列 derived_column、删列 drop_columns、分组聚合 group_aggregate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预处理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8"/>
              </w:rPr>
              <w:t>归一化 normalize、缺失填充 fill_missing、异常检测 outlier_detect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滤波与信号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8"/>
              </w:rPr>
              <w:t>移动平均 moving_average、中值 median_filter、高斯 gaussian_filter、Savitzky-Golay savgol_filter、巴特沃斯 butterworth_filter、FFT 频谱 fft_frequency_analysis、寻峰 find_peaks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回归与拟合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4F8FB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8"/>
              </w:rPr>
              <w:t>线性回归 linear_regression、多项式回归 polynomial_regression、曲线拟合 curve_fit、相关性 correlation、插值 interpolate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21B2A"/>
                <w:sz w:val="18"/>
              </w:rPr>
              <w:t>降维与分析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21B2A"/>
                <w:sz w:val="18"/>
              </w:rPr>
              <w:t>PCA pca、灵敏度 sensitivity、K-means 聚类 kmeans_cluster</w:t>
            </w:r>
          </w:p>
        </w:tc>
      </w:tr>
    </w:tbl>
    <w:p>
      <w:pPr>
        <w:spacing w:after="40"/>
      </w:pPr>
    </w:p>
    <w:p>
      <w:pPr>
        <w:spacing w:after="160"/>
      </w:pPr>
    </w:p>
    <w:p>
      <w:pPr>
        <w:jc w:val="center"/>
        <w:pBdr>
          <w:bottom w:val="single" w:sz="6" w:space="4" w:color="D9E4EC"/>
        </w:pBdr>
      </w:pP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56474"/>
          <w:sz w:val="18"/>
        </w:rPr>
        <w:t>RLab · Cortex 智能体矩阵　｜　RLab Cortex 产品使用手册 v1.0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color w:val="121B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