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spacing w:after="120"/>
        <w:jc w:val="left"/>
      </w:pPr>
      <w:r>
        <w:rPr>
          <w:rFonts w:ascii="Consolas" w:hAnsi="Consolas" w:eastAsia="Consolas"/>
          <w:b/>
          <w:i w:val="0"/>
          <w:color w:val="0369A1"/>
          <w:sz w:val="22"/>
        </w:rPr>
        <w:t>ROMTEK CORTEX · 产品白皮书</w:t>
      </w:r>
    </w:p>
    <w:p>
      <w:pPr>
        <w:spacing w:after="40"/>
      </w:pPr>
      <w:r>
        <w:rPr>
          <w:rFonts w:ascii="Segoe UI Semibold" w:hAnsi="Segoe UI Semibold" w:eastAsia="Segoe UI Semibold"/>
          <w:b/>
          <w:i w:val="0"/>
          <w:color w:val="6D35D6"/>
          <w:sz w:val="80"/>
        </w:rPr>
        <w:t>RLab Cortex</w:t>
      </w:r>
    </w:p>
    <w:p>
      <w:pPr>
        <w:spacing w:after="80"/>
        <w:pBdr>
          <w:bottom w:val="single" w:sz="14" w:space="4" w:color="6D35D6"/>
        </w:pBdr>
      </w:pPr>
      <w:r>
        <w:rPr>
          <w:rFonts w:ascii="微软雅黑" w:hAnsi="微软雅黑" w:eastAsia="微软雅黑"/>
          <w:b/>
          <w:i w:val="0"/>
          <w:color w:val="121B2A"/>
          <w:sz w:val="44"/>
        </w:rPr>
        <w:t>可验证的数据分析智能体</w:t>
      </w:r>
    </w:p>
    <w:p>
      <w:pPr>
        <w:spacing w:before="200" w:after="440" w:line="384" w:lineRule="auto"/>
      </w:pPr>
      <w:r>
        <w:rPr>
          <w:rFonts w:ascii="微软雅黑" w:hAnsi="微软雅黑" w:eastAsia="微软雅黑"/>
          <w:b w:val="0"/>
          <w:i w:val="0"/>
          <w:color w:val="556474"/>
          <w:sz w:val="25"/>
        </w:rPr>
        <w:t>把数据交给它，AI 自动读懂、动手分析——每一步解析、算法与图表都可追溯、可复算，结论经得起复核，并能沉淀为团队可复用的资产。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11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1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1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RLab Cortex 起始页：拖入数据即可开始，并以贴近场景的问题引导分析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4608"/>
          </w:tcPr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8A98A6"/>
                <w:sz w:val="18"/>
              </w:rPr>
              <w:t xml:space="preserve">产品名称　</w:t>
            </w: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RLab Cortex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8A98A6"/>
                <w:sz w:val="18"/>
              </w:rPr>
              <w:t xml:space="preserve">产品形态　</w:t>
            </w: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可私有化部署的 Web 智能体应用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8A98A6"/>
                <w:sz w:val="18"/>
              </w:rPr>
              <w:t xml:space="preserve">目标用户　</w:t>
            </w: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工程师与科研人员</w:t>
            </w:r>
          </w:p>
        </w:tc>
        <w:tc>
          <w:tcPr>
            <w:tcW w:type="dxa" w:w="4608"/>
          </w:tcPr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8A98A6"/>
                <w:sz w:val="18"/>
              </w:rPr>
              <w:t xml:space="preserve">适用领域　</w:t>
            </w: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通用工程数据（电池测试 / CFD·CAE 等）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8A98A6"/>
                <w:sz w:val="18"/>
              </w:rPr>
              <w:t xml:space="preserve">出品　</w:t>
            </w: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RLab · Cortex 智能体矩阵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8A98A6"/>
                <w:sz w:val="18"/>
              </w:rPr>
              <w:t xml:space="preserve">文档版本　</w:t>
            </w: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v1.0 ｜ 2026-06</w:t>
            </w:r>
          </w:p>
        </w:tc>
      </w:tr>
    </w:tbl>
    <w:p>
      <w:r>
        <w:br w:type="page"/>
      </w:r>
    </w:p>
    <w:p>
      <w:pPr>
        <w:spacing w:after="120"/>
        <w:pBdr>
          <w:bottom w:val="single" w:sz="10" w:space="4" w:color="6D35D6"/>
        </w:pBdr>
      </w:pPr>
      <w:r>
        <w:rPr>
          <w:rFonts w:ascii="微软雅黑" w:hAnsi="微软雅黑" w:eastAsia="微软雅黑"/>
          <w:b/>
          <w:i w:val="0"/>
          <w:color w:val="6D35D6"/>
          <w:sz w:val="32"/>
        </w:rPr>
        <w:t>目　录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01　产品概览与定位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02　它要解决的问题：工程数据分析的三道坎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03　核心价值：它能为团队带来什么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04　输入与输出：一条端到端、可追溯的完整链条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05　技术途径与技术路线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06　可扩展性：如何把它接入你自己的业务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07　功能清单（按模块）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08　产品与服务方式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09　应用案例</w:t>
      </w:r>
    </w:p>
    <w:p>
      <w:pPr>
        <w:spacing w:after="100"/>
        <w:ind w:left="170"/>
      </w:pPr>
      <w:r>
        <w:rPr>
          <w:rFonts w:ascii="微软雅黑" w:hAnsi="微软雅黑" w:eastAsia="微软雅黑"/>
          <w:b w:val="0"/>
          <w:i w:val="0"/>
          <w:color w:val="121B2A"/>
          <w:sz w:val="22"/>
        </w:rPr>
        <w:t>10　未来发展方向</w:t>
      </w: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6D35D6"/>
        </w:pBdr>
      </w:pPr>
      <w:r>
        <w:rPr>
          <w:rFonts w:ascii="微软雅黑" w:hAnsi="微软雅黑" w:eastAsia="微软雅黑"/>
          <w:b/>
          <w:color w:val="6D35D6"/>
          <w:sz w:val="34"/>
        </w:rPr>
        <w:t>01　产品概览与定位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RLab Cortex 是一款面向工程师与科研人员的「可验证」数据分析智能体。它的出发点很朴素：在工程与科研场景里，一个“看起来对、其实算错”的数字，比没有答案更危险——它可能被写进报告、汇入设计冻结、随产品出厂。市面上以“上传 CSV、聊天、让大模型现写一段 pandas”为形态的通用工具，恰恰把这一点当作了可接受的代价：模型每次都即兴生成一段用完即弃的代码，没有沉淀、没有版本、没有人对它的假设、单位与失效边界负责。RLab Cortex 要解决的，正是这条裂缝。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我们不做“又一个 AI 数据助手”。RLab Cortex 的两个内核，决定了它与通用工具的根本区别：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可验证、可追溯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从原始文件被读懂的那一刻起，每一次解析、每一步算法、每一张图表，都带着可回放的来历；中间结果不被丢弃，而是作为可复算的资产沉淀下来。结论之所以可信，是因为它的每一步都摆在明面上、可被复核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自我扩展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它不止能调用内置算法，还能直接运行你自己信赖的代码，或在对话中让 AI 现场生成新工具——所有外来代码均先经沙箱验证，再成为团队可复用的能力。工具箱随使用持续累积，而非每次从零开始。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144"/>
            <w:shd w:val="clear" w:color="auto" w:fill="6D35D6"/>
          </w:tcPr>
          <w:p/>
        </w:tc>
        <w:tc>
          <w:tcPr>
            <w:tcW w:type="dxa" w:w="9072"/>
            <w:shd w:val="clear" w:color="auto" w:fill="F1ECFB"/>
            <w:tcMar>
              <w:top w:w="110" w:type="dxa"/>
              <w:bottom w:w="11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21"/>
              </w:rPr>
              <w:t>一句话定位</w:t>
            </w:r>
          </w:p>
          <w:p>
            <w:pPr>
              <w:spacing w:after="0" w:line="348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20"/>
              </w:rPr>
              <w:t>面向工程师与科研人员的「可验证」数据分析智能体：任意格式的数据拖进来，AI 自动读懂，用内置算法、你自己的代码、或 AI 现场生成的工具完成分析，每一步都有可追溯的来历，并能沉淀成可复用的流程。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它适合谁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RLab Cortex 锁定的是“数据本身带专业属性、且必须信得过结论”的人群——他们手里通常已经有一批用了多年、比任何聊天机器人都更信任的脚本与方法。下表是三类典型用户，也是产品当前与近期重点服务的场景：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1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RLab Cortex 锁定的三类典型用户及其核心痛点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3173"/>
        <w:gridCol w:w="3173"/>
        <w:gridCol w:w="3173"/>
      </w:tblGrid>
      <w:tr>
        <w:tc>
          <w:tcPr>
            <w:tcW w:type="dxa" w:w="2160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典型用户</w:t>
            </w:r>
          </w:p>
        </w:tc>
        <w:tc>
          <w:tcPr>
            <w:tcW w:type="dxa" w:w="3312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今天的工作方式</w:t>
            </w:r>
          </w:p>
        </w:tc>
        <w:tc>
          <w:tcPr>
            <w:tcW w:type="dxa" w:w="3744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最痛的地方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电池测试工程师</w:t>
            </w:r>
          </w:p>
        </w:tc>
        <w:tc>
          <w:tcPr>
            <w:tcW w:type="dxa" w:w="331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Excel + MATLAB + 临时 Python 笔记本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多厂商循环仪数据格式割裂；dV/dQ、容量衰减等分析靠私人脚本，难共享、难复核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CFD / CAE 仿真工程师</w:t>
            </w:r>
          </w:p>
        </w:tc>
        <w:tc>
          <w:tcPr>
            <w:tcW w:type="dxa" w:w="331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PyFoam / Tecplot 脚本 + PPT 拼图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参数化 DOE 后处理繁琐重复；算例之间对比、灵敏度分析缺少统一工具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试验 / 测试与科研人员</w:t>
            </w:r>
          </w:p>
        </w:tc>
        <w:tc>
          <w:tcPr>
            <w:tcW w:type="dxa" w:w="331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组内相传的 MATLAB 工具箱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经验散落在个人电脑里，人员变动即面临脚本失传；结果难以说清依据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与通用 AI 数据工具的区别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2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RLab Cortex 与通用「聊天分析 CSV」工具的关键差异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3173"/>
        <w:gridCol w:w="3173"/>
        <w:gridCol w:w="3173"/>
      </w:tblGrid>
      <w:tr>
        <w:tc>
          <w:tcPr>
            <w:tcW w:type="dxa" w:w="1728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888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通用「聊天分析 CSV」工具</w:t>
            </w:r>
          </w:p>
        </w:tc>
        <w:tc>
          <w:tcPr>
            <w:tcW w:type="dxa" w:w="3600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RLab Cortex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对待结论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给出答案即可，正确性靠用户自检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每步可追溯、可复算，先取信再交付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算法来源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大模型即兴现写、用完即弃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内置精选算法 + 你的代码 + AI 生成，均经沙箱验证并可沉淀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专业数据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偏通用业务表格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原生支持传感器/仪器/仿真等工程数据与网格文件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资产沉淀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几乎没有，每次从零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解析器、算法、流程模板跨会话、跨人复用</w:t>
            </w:r>
          </w:p>
        </w:tc>
      </w:tr>
      <w:tr>
        <w:tc>
          <w:tcPr>
            <w:tcW w:type="dxa" w:w="172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私有化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多为公有 SaaS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可整套私有化部署，数据不出内网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0369A1"/>
        </w:pBdr>
      </w:pPr>
      <w:r>
        <w:rPr>
          <w:rFonts w:ascii="微软雅黑" w:hAnsi="微软雅黑" w:eastAsia="微软雅黑"/>
          <w:b/>
          <w:color w:val="0369A1"/>
          <w:sz w:val="34"/>
        </w:rPr>
        <w:t>02　它要解决的问题：工程数据分析的三道坎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工程师每天与数据打交道，真正消耗时间和信任的，不是“跑一个算法”，而是横在算法前后的三道坎。RLab Cortex 的产品设计，正是逐一拆掉它们。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坎一　数据读不进来：格式割裂，时间耗在“把文件变成能算的表”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循环仪、采集仪、求解器各家一套导出格式，Maccor、Arbin、Neware、Tecplot、CGNS……同一件事要写一堆一次性解析脚本。工程师往往花大半天把文件“变成能算的表”，真正的分析还没开始。这类前处理工作重复、易错、且无法积累。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坎二　算法靠私人脚本：经验锁在个人电脑里，难共享、难复核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最值钱的分析方法——某人的 dV/dQ 峰值追踪、某条灵敏度排序、某段滤波参数——通常以 MATLAB 或 Jupyter 笔记本的形式，存在某个工程师的电脑里。它能跑，但不可共享、不可版本化、更无法被同行快速复核。人一走，方法就失传；要复用，只能靠邮件互发脚本。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坎三　结论不敢信：AI “看着自信，数字是错的”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通用大模型工具的通病，是给出一个措辞笃定、却经不起追问的数字。它不会告诉你它假设了什么、用的什么单位、在什么条件下会失效。对一个要把结果写进交付报告的工程师而言，这种“自信的错误”是不可接受的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144"/>
            <w:shd w:val="clear" w:color="auto" w:fill="0369A1"/>
          </w:tcPr>
          <w:p/>
        </w:tc>
        <w:tc>
          <w:tcPr>
            <w:tcW w:type="dxa" w:w="9072"/>
            <w:shd w:val="clear" w:color="auto" w:fill="EAF2F8"/>
            <w:tcMar>
              <w:top w:w="110" w:type="dxa"/>
              <w:bottom w:w="11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21"/>
              </w:rPr>
              <w:t>我们的判断</w:t>
            </w:r>
          </w:p>
          <w:p>
            <w:pPr>
              <w:spacing w:after="0" w:line="348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20"/>
              </w:rPr>
              <w:t>前两道坎是“做不到”的问题，第三道坎是“不敢信”的问题。把三者一并解决，需要的不是一个表达更流畅的模型，而是一个能承载专家经验、让非专家也能信任使用的「容器」——这正是 RLab Cortex 的设计原点。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6D35D6"/>
        </w:pBdr>
      </w:pPr>
      <w:r>
        <w:rPr>
          <w:rFonts w:ascii="微软雅黑" w:hAnsi="微软雅黑" w:eastAsia="微软雅黑"/>
          <w:b/>
          <w:color w:val="6D35D6"/>
          <w:sz w:val="34"/>
        </w:rPr>
        <w:t>03　核心价值：它能为团队带来什么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把上面三道坎拆掉之后，RLab Cortex 为团队带来的，是三类可以被感知、甚至被量化的收益。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① 把结论的可信度，从主观判断变成可复核的事实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每一次分析都留下完整的来历：用了哪个数据集、走了哪几步、每步什么参数、产出什么中间结果。评审时不再是“相信工程师”，而是“复核这条链路”。出了问题能定位到具体一步，对了也说得清为什么对。对需要对外负责的结论，这一点意味着从“个人背书”升级为“流程背书”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② 把个人经验沉淀为团队资产，持续积累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工程师信任的私人脚本，第一次上传后就成为团队里可被调用、可被版本化的工具；一次成功的分析过程，可以一键保存为流程模板，换个数据集即可复跑。新人加入，不必从零摸索，直接继承前人沉淀的解析器、算法与流程。团队的能力不再随人员流动而流失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③ 把重复劳动交给智能体，把判断留给人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文件解析、算法选择、画图、批量出图这类机械工作，由智能体在对话中连贯完成；工程师真正的精力，回到“这个结论意味着什么、下一步怎么做”的判断上。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价值速览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3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传统方式与使用 RLab Cortex 的关键差异对比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3173"/>
        <w:gridCol w:w="3173"/>
        <w:gridCol w:w="3173"/>
      </w:tblGrid>
      <w:tr>
        <w:tc>
          <w:tcPr>
            <w:tcW w:type="dxa" w:w="2160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收益维度</w:t>
            </w:r>
          </w:p>
        </w:tc>
        <w:tc>
          <w:tcPr>
            <w:tcW w:type="dxa" w:w="3312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传统方式</w:t>
            </w:r>
          </w:p>
        </w:tc>
        <w:tc>
          <w:tcPr>
            <w:tcW w:type="dxa" w:w="3744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用了 RLab Cortex 之后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上手一份新数据</w:t>
            </w:r>
          </w:p>
        </w:tc>
        <w:tc>
          <w:tcPr>
            <w:tcW w:type="dxa" w:w="331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写解析脚本，半天起步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拖进来，AI 自动读懂；首次教会即永久复用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复用一套分析方法</w:t>
            </w:r>
          </w:p>
        </w:tc>
        <w:tc>
          <w:tcPr>
            <w:tcW w:type="dxa" w:w="331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翻找、互发笔记本，重配环境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调用已沉淀的算法或一键复跑流程模板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复核一个结论</w:t>
            </w:r>
          </w:p>
        </w:tc>
        <w:tc>
          <w:tcPr>
            <w:tcW w:type="dxa" w:w="331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口头解释 + 翻聊天记录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回放可追溯链路，定位到具体步骤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接入自有算法</w:t>
            </w:r>
          </w:p>
        </w:tc>
        <w:tc>
          <w:tcPr>
            <w:tcW w:type="dxa" w:w="331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无处安放，散在个人电脑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上传即成团队工具，沙箱验证、可共享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团队知识传承</w:t>
            </w:r>
          </w:p>
        </w:tc>
        <w:tc>
          <w:tcPr>
            <w:tcW w:type="dxa" w:w="331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依赖人员与口头交接，易随人员流动而流失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解析器 / 算法 / 流程模板三类资产持续累积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0369A1"/>
        </w:pBdr>
      </w:pPr>
      <w:r>
        <w:rPr>
          <w:rFonts w:ascii="微软雅黑" w:hAnsi="微软雅黑" w:eastAsia="微软雅黑"/>
          <w:b/>
          <w:color w:val="0369A1"/>
          <w:sz w:val="34"/>
        </w:rPr>
        <w:t>04　输入与输出：一条端到端、可追溯的完整链条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RLab Cortex 的“可验证”，落到实处就是这条链条：从一个原始文件进、到一个可复核的结论出，中间的每一环都不被黑箱吞掉。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端到端数据流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① 输入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原始文件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EA5E9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② 读懂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解析建表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EA5E9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③ 理解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列义识别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EA5E9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④ 分析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算法/代码/AI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EA5E9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⑤ 呈现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图表+结论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EA5E9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⑥ 沉淀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资产复用</w:t>
            </w:r>
          </w:p>
        </w:tc>
      </w:tr>
    </w:tbl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2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RLab Cortex 端到端数据处理链条：从原始文件到可复核结论的六个环节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输入（进什么）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表格数据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CSV / TSV / Excel(.xlsx/.xls，多工作表自动拆分) / Parquet / JSON。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仿真与网格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CGNS / VTK / STL 网格文件（经 VTK 解析为点+场数据）、Tecplot ASCII 探针数据自动识别。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任意私有格式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若不匹配内置或已存解析器，可让 AI 现场生成自定义解析器，确认后即长期复用。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输出（出什么）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可交互图表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折线 / 散点 / 柱状等内置图，以及由 AI 生成的雷达、热力、等高线、3D 曲面、箱线等任意图形；支持多数据集叠加对比、批量出图。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结构化结论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算法返回系数、R²、RMSE、主频、峰位、解释方差等量化结果，配自然语言解读。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派生数据集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每一步分析结果都落为带血缘的 Parquet 数据集，可继续作为下一步输入。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可复用资产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确认后的解析器、算法、整套流程模板，沉淀进库供团队复用。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“可追溯”落到实处是什么样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以一条“传感器去噪”分析为例。用户只说了一句“把这列噪声平滑、标出异常、再做归一化”，系统把它拆成四个明确步骤，每一步都是一个独立、具名、可复核的节点：上一步的输出，正是下一步的输入。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1058"/>
        <w:gridCol w:w="1058"/>
        <w:gridCol w:w="1058"/>
        <w:gridCol w:w="1058"/>
        <w:gridCol w:w="1058"/>
        <w:gridCol w:w="1058"/>
        <w:gridCol w:w="1058"/>
        <w:gridCol w:w="1058"/>
        <w:gridCol w:w="1058"/>
      </w:tblGrid>
      <w:tr>
        <w:tc>
          <w:tcPr>
            <w:tcW w:type="dxa" w:w="1699"/>
            <w:vAlign w:val="center"/>
            <w:shd w:val="clear" w:color="auto" w:fill="F1ECFB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19"/>
              </w:rPr>
              <w:t>① 输入数据集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原始测量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F1ECFB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19"/>
              </w:rPr>
              <w:t>② 去噪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Savitzky-Golay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F1ECFB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19"/>
              </w:rPr>
              <w:t>③ 标记异常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IQR 离群点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F1ECFB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19"/>
              </w:rPr>
              <w:t>④ 归一化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Min-Max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F1ECFB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19"/>
              </w:rPr>
              <w:t>⑤ 输出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带血缘结果集</w:t>
            </w:r>
          </w:p>
        </w:tc>
      </w:tr>
    </w:tbl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3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一条可追溯的分析链路：四个具名步骤首尾相接，每步产出一个带血缘的派生数据集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这条链路的“可追溯”体现在两个层面：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步骤可见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每个节点都标明用了哪个方法、什么参数，整条流水线一眼看全，并可一键存为流程模板、换份数据整套复跑。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数据可回溯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每一步的结果都不是临时变量，而是落库为一个带血缘（lineage）的派生数据集，记录“它由哪个上游数据、经过哪一步算法而来”；于是任一中间结果都能逐级回溯到最初的原始文件。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144"/>
            <w:shd w:val="clear" w:color="auto" w:fill="6D35D6"/>
          </w:tcPr>
          <w:p/>
        </w:tc>
        <w:tc>
          <w:tcPr>
            <w:tcW w:type="dxa" w:w="9072"/>
            <w:shd w:val="clear" w:color="auto" w:fill="F1ECFB"/>
            <w:tcMar>
              <w:top w:w="110" w:type="dxa"/>
              <w:bottom w:w="11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21"/>
              </w:rPr>
              <w:t>为什么这条链条是产品的核心</w:t>
            </w:r>
          </w:p>
          <w:p>
            <w:pPr>
              <w:spacing w:after="0" w:line="348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20"/>
              </w:rPr>
              <w:t>通用工具在第④步“分析”之后就结束了——给个数字。RLab Cortex 把第④步前后的“读懂—理解”与“呈现—沉淀”同样纳入可追溯范围，于是“结论可信”不再依赖对模型的信任，而依赖对链路的可复核。这是它区别于通用“聊天分析 CSV”工具的根本所在。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0369A1"/>
        </w:pBdr>
      </w:pPr>
      <w:r>
        <w:rPr>
          <w:rFonts w:ascii="微软雅黑" w:hAnsi="微软雅黑" w:eastAsia="微软雅黑"/>
          <w:b/>
          <w:color w:val="0369A1"/>
          <w:sz w:val="34"/>
        </w:rPr>
        <w:t>05　技术途径与技术路线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RLab Cortex 的技术选型，处处围绕两个目标：让“可验证”有工程支撑，让“私有化、易部署”不打折扣。下面从架构、智能体、安全沙箱、性能四个层面展开。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总体架构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系统是一套前后端分离、可单机起步、可平滑扩容的 Web 应用。各层选型与理由如下：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4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总体技术栈选型与选择理由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3173"/>
        <w:gridCol w:w="3173"/>
        <w:gridCol w:w="3173"/>
      </w:tblGrid>
      <w:tr>
        <w:tc>
          <w:tcPr>
            <w:tcW w:type="dxa" w:w="1296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层</w:t>
            </w:r>
          </w:p>
        </w:tc>
        <w:tc>
          <w:tcPr>
            <w:tcW w:type="dxa" w:w="3888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技术选型</w:t>
            </w:r>
          </w:p>
        </w:tc>
        <w:tc>
          <w:tcPr>
            <w:tcW w:type="dxa" w:w="4032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选择理由</w:t>
            </w:r>
          </w:p>
        </w:tc>
      </w:tr>
      <w:tr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前端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Next.js 15 + Tailwind + TypeScript</w:t>
            </w:r>
          </w:p>
        </w:tc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同源 API、standalone 输出便于打成极小生产容器</w:t>
            </w:r>
          </w:p>
        </w:tc>
      </w:tr>
      <w:tr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后端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FastAPI + SQLAlchemy 2(async) + Pydantic v2</w:t>
            </w:r>
          </w:p>
        </w:tc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原生 async（聊天 SSE 流式必需）、强类型、易容器化</w:t>
            </w:r>
          </w:p>
        </w:tc>
      </w:tr>
      <w:tr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数据库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SQLite 默认 → 一行配置切 Postgres</w:t>
            </w:r>
          </w:p>
        </w:tc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V1 零运维；规模上来无缝升级</w:t>
            </w:r>
          </w:p>
        </w:tc>
      </w:tr>
      <w:tr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对象存储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本地磁盘 → 可切 S3 / OSS</w:t>
            </w:r>
          </w:p>
        </w:tc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V1 一个数据卷即可</w:t>
            </w:r>
          </w:p>
        </w:tc>
      </w:tr>
      <w:tr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大模型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DeepSeek（OpenAI 兼容）默认，支持 BYOK</w:t>
            </w:r>
          </w:p>
        </w:tc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同档可信模型里成本低、代码生成强；企业可换任意兼容端点</w:t>
            </w:r>
          </w:p>
        </w:tc>
      </w:tr>
      <w:tr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执行沙箱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python -I 子进程 + AST 白名单 + 资源限额</w:t>
            </w:r>
          </w:p>
        </w:tc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跨 Windows/Linux，无需 Docker-in-Docker</w:t>
            </w:r>
          </w:p>
        </w:tc>
      </w:tr>
      <w:tr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反向代理</w:t>
            </w:r>
          </w:p>
        </w:tc>
        <w:tc>
          <w:tcPr>
            <w:tcW w:type="dxa" w:w="38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Nginx</w:t>
            </w:r>
          </w:p>
        </w:tc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对 SSE 流式友好，便于前置终止 TLS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分层视图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9518"/>
      </w:tblGrid>
      <w:tr>
        <w:tc>
          <w:tcPr>
            <w:tcW w:type="dxa" w:w="9216"/>
            <w:shd w:val="clear" w:color="auto" w:fill="EAF2F8"/>
            <w:tcMar>
              <w:top w:w="80" w:type="dxa"/>
              <w:bottom w:w="8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20"/>
              </w:rPr>
              <w:t xml:space="preserve">交互层　</w:t>
            </w: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8"/>
              </w:rPr>
              <w:t>Next.js 工作台：对话 · 数据集 · 算法库 · 流程模板 · 反馈 · 设置</w:t>
            </w:r>
          </w:p>
        </w:tc>
      </w:tr>
    </w:tbl>
    <w:p>
      <w:pPr>
        <w:spacing w:after="40"/>
        <w:jc w:val="center"/>
      </w:pPr>
      <w:r>
        <w:rPr>
          <w:rFonts w:ascii="微软雅黑" w:hAnsi="微软雅黑" w:eastAsia="微软雅黑"/>
          <w:b w:val="0"/>
          <w:i w:val="0"/>
          <w:color w:val="8A98A6"/>
          <w:sz w:val="16"/>
        </w:rPr>
        <w:t>▼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9518"/>
      </w:tblGrid>
      <w:tr>
        <w:tc>
          <w:tcPr>
            <w:tcW w:type="dxa" w:w="9216"/>
            <w:shd w:val="clear" w:color="auto" w:fill="F1ECFB"/>
            <w:tcMar>
              <w:top w:w="80" w:type="dxa"/>
              <w:bottom w:w="8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20"/>
              </w:rPr>
              <w:t xml:space="preserve">智能体层　</w:t>
            </w: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8"/>
              </w:rPr>
              <w:t>ReAct 循环：列义理解 · 工具编排 · 代码生成 · 流式事件全程留痕</w:t>
            </w:r>
          </w:p>
        </w:tc>
      </w:tr>
    </w:tbl>
    <w:p>
      <w:pPr>
        <w:spacing w:after="40"/>
        <w:jc w:val="center"/>
      </w:pPr>
      <w:r>
        <w:rPr>
          <w:rFonts w:ascii="微软雅黑" w:hAnsi="微软雅黑" w:eastAsia="微软雅黑"/>
          <w:b w:val="0"/>
          <w:i w:val="0"/>
          <w:color w:val="8A98A6"/>
          <w:sz w:val="16"/>
        </w:rPr>
        <w:t>▼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9518"/>
      </w:tblGrid>
      <w:tr>
        <w:tc>
          <w:tcPr>
            <w:tcW w:type="dxa" w:w="9216"/>
            <w:shd w:val="clear" w:color="auto" w:fill="EAF2F8"/>
            <w:tcMar>
              <w:top w:w="80" w:type="dxa"/>
              <w:bottom w:w="8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20"/>
              </w:rPr>
              <w:t xml:space="preserve">执行层　</w:t>
            </w: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8"/>
              </w:rPr>
              <w:t>内置算法（进程内）｜ 用户/AI 代码（隔离子进程沙箱）</w:t>
            </w:r>
          </w:p>
        </w:tc>
      </w:tr>
    </w:tbl>
    <w:p>
      <w:pPr>
        <w:spacing w:after="40"/>
        <w:jc w:val="center"/>
      </w:pPr>
      <w:r>
        <w:rPr>
          <w:rFonts w:ascii="微软雅黑" w:hAnsi="微软雅黑" w:eastAsia="微软雅黑"/>
          <w:b w:val="0"/>
          <w:i w:val="0"/>
          <w:color w:val="8A98A6"/>
          <w:sz w:val="16"/>
        </w:rPr>
        <w:t>▼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9518"/>
      </w:tblGrid>
      <w:tr>
        <w:tc>
          <w:tcPr>
            <w:tcW w:type="dxa" w:w="9216"/>
            <w:shd w:val="clear" w:color="auto" w:fill="EAF6EE"/>
            <w:tcMar>
              <w:top w:w="80" w:type="dxa"/>
              <w:bottom w:w="8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15803D"/>
                <w:sz w:val="20"/>
              </w:rPr>
              <w:t xml:space="preserve">数据层　</w:t>
            </w: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8"/>
              </w:rPr>
              <w:t>数据集 · 派生血缘 · 解析器 · 算法 · 流程模板 · 映射规则 · 反馈（全量落库）</w:t>
            </w:r>
          </w:p>
        </w:tc>
      </w:tr>
    </w:tbl>
    <w:p>
      <w:pPr>
        <w:spacing w:after="40"/>
        <w:jc w:val="center"/>
      </w:pPr>
      <w:r>
        <w:rPr>
          <w:rFonts w:ascii="微软雅黑" w:hAnsi="微软雅黑" w:eastAsia="微软雅黑"/>
          <w:b w:val="0"/>
          <w:i w:val="0"/>
          <w:color w:val="8A98A6"/>
          <w:sz w:val="16"/>
        </w:rPr>
        <w:t>▼</w:t>
      </w:r>
    </w:p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4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系统分层架构：交互 · 智能体 · 执行 · 数据四层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智能体：一个会编排、会反省的分析循环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对话背后是一个 ReAct（推理—行动）循环：模型每一步返回“想法 + 动作 + 参数”，系统分派执行后把结果喂回，直到给出最终答复。它具备四个工程化特性，保证运行的稳定与过程的可见：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自动编排流水线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同一轮里，一个工具的输出自动接到下一个工具的输入；跨轮对话还会记住上一阶段结果，“再插值一下”会接着上一步而不是回到原始数据。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熔断与自愈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重复同样的失败会触发熔断（第 2 次告警、第 3 次停止）；模型偶发返回非法 JSON 时，自动尝试重排、再不行回退为文字，不让一次抖动拖垮整轮。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全程流式留痕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想法、工具调用、工具结果、最终答复逐条通过 SSE 推到前端并持久化，事后可完整重建审计轨迹——“没有沉默的步骤”。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工具自省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智能体可先列工具、查参数规格，再决定调用哪个，避免“凭空臆造”不存在的工具。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安全沙箱：让“运行外来代码”可控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自我扩展能力的前提，是能安全地运行用户上传或 AI 生成的代码。RLab Cortex 绝不在 API 进程里执行外来代码，而是落到一个受限子进程里，两道关卡叠加：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>提交时——静态校验：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AST 白名单只放行 numpy/pandas/scipy/sklearn 等科学计算库；拒绝 open/eval/exec/__import__、双下划线属性访问、socket/urllib 等网络访问；运行时再 monkey-patch 套接字使其抛错。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>运行时——资源隔离：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python -I 启动的子进程设 cwd 于临时目录、墙钟超时（默认 30s）、CPU 时间（默认 10s）、内存上限（默认 512MB，POSIX 用 RLIMIT_AS）、输出截断；子进程拿不到大模型密钥等敏感环境变量。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556474"/>
          <w:sz w:val="19"/>
        </w:rPr>
        <w:t>子进程即使崩溃，也只会让父进程上报 status: error，不影响整体服务的稳定。对更高保障级别的部署，技术路线上还将引入 microVM 级隔离。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性能特征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556474"/>
          <w:sz w:val="19"/>
        </w:rPr>
        <w:t>下表为单机笔记本环境下的 p50 延迟参考值，实际表现随数据规模与硬件配置而变化：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5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单机环境下典型操作的 p50 延迟参考值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5184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操作</w:t>
            </w:r>
          </w:p>
        </w:tc>
        <w:tc>
          <w:tcPr>
            <w:tcW w:type="dxa" w:w="3744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p50 延迟（参考）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内置线性回归（200 样本 × 2 特征）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&lt; 20 ms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内置 Savitzky-Golay 滤波（500 行）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30–50 ms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用户代码沙箱热路径（500 行）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400–500 ms（子进程启动开销为主）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AI 代码生成 + 沙箱测试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2–5 s（大模型调用为主）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10 MB CSV 上传并写 Parquet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&lt; 500 ms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可平滑扩容的部署路线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1058"/>
        <w:gridCol w:w="1058"/>
        <w:gridCol w:w="1058"/>
        <w:gridCol w:w="1058"/>
        <w:gridCol w:w="1058"/>
        <w:gridCol w:w="1058"/>
        <w:gridCol w:w="1058"/>
        <w:gridCol w:w="1058"/>
        <w:gridCol w:w="1058"/>
      </w:tblGrid>
      <w:tr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单机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SQLite+单 worker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EA5E9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百用户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多 worker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EA5E9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千用户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Postgres+OSS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EA5E9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万用户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沙箱微服务化</w:t>
            </w:r>
          </w:p>
        </w:tc>
        <w:tc>
          <w:tcPr>
            <w:tcW w:type="dxa" w:w="461"/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EA5E9"/>
                <w:sz w:val="22"/>
              </w:rPr>
              <w:t>▶</w:t>
            </w:r>
          </w:p>
        </w:tc>
        <w:tc>
          <w:tcPr>
            <w:tcW w:type="dxa" w:w="1699"/>
            <w:vAlign w:val="center"/>
            <w:shd w:val="clear" w:color="auto" w:fill="EAF2F8"/>
            <w:tcMar>
              <w:top w:w="90" w:type="dxa"/>
              <w:bottom w:w="90" w:type="dxa"/>
              <w:start w:w="40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19"/>
              </w:rPr>
              <w:t>企业级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5"/>
              </w:rPr>
              <w:t>K8s/私有云</w:t>
            </w:r>
          </w:p>
        </w:tc>
      </w:tr>
    </w:tbl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5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可平滑扩容的部署路线：从单机到企业级，API 与算法层基本不变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556474"/>
          <w:sz w:val="19"/>
        </w:rPr>
        <w:t>从单机到企业级，API 与算法层基本不动，改动集中在数据库连接串、存储后端与沙箱执行的拆分上——这意味着私有化交付不会推倒重来。</w:t>
      </w: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6D35D6"/>
        </w:pBdr>
      </w:pPr>
      <w:r>
        <w:rPr>
          <w:rFonts w:ascii="微软雅黑" w:hAnsi="微软雅黑" w:eastAsia="微软雅黑"/>
          <w:b/>
          <w:color w:val="6D35D6"/>
          <w:sz w:val="34"/>
        </w:rPr>
        <w:t>06　可扩展性：如何把它接入你自己的业务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可扩展性是 RLab Cortex 的立身之本，而不是一个附加功能。客户拿过去之后，可以沿四条清晰的路径，把它“长成”自己业务的样子，且每条路径都不需要改动产品源码。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路径一　教它读懂你的私有文件格式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当一种导出格式不被原生支持，用户无需写代码：在对话或数据集页里描述这个文件，AI 现场生成一个解析器，先在沙箱里试解析、确认结果无误，再一键保存为该扩展名的解析适配器（format adapter）。从此团队中任何人再上传同类文件，系统自动套用——教一次，长期复用。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路径二　把你信赖的算法搬进来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工程师多年积累的 MATLAB / Python 方法，可以直接作为 run(df, **params) 形态的算法上传。它进沙箱通过静态校验与测试报告后，就成为团队里可被对话调用、可被流程模板编排、可版本化的工具。多年内部 IP 第一次有了统一的“家”，也构成了真正的迁移成本与护城河。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539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3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6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用 AI 生成算法：用自然语言描述需求，系统按安全工具规范写出 Python 并在沙箱跑通验证，确认后入库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路径三　把一次成功分析固化为可复用的流程模板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一段跑通的分析对话，可以一键保存为流程模板：它记录有序的步骤（动作 + 算法 + 参数），换一个数据集即可整套复跑，并支持运行时参数覆盖。模板可在可视化画布（FlowCanvas）上增删、调序、改参，相当于把“某位专家的标准作业流程”做成了人人可用的小应用。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2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7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流程模板的“运行·小程序”模式：把固化的分析流程做成换数据即跑的小应用，非专家也能一键复用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路径四　接你自己的大模型与算力（BYOK）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企业可在设置里填入自有的 API Key、兼容端点与模型名（Bring Your Own Key），让 RLab Cortex 走你选定的任意 OpenAI 兼容大模型——无论是自建私有模型、国产模型还是云端商用模型。这既消除了“token 账单失控”的采购顾虑，也满足数据与模型都不出内网的合规要求。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8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BYOK 设置：在 DeepSeek / 通义千问 / OpenAI / 任意兼容端点之间切换，填入自有密钥即可走企业选定的大模型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144"/>
            <w:shd w:val="clear" w:color="auto" w:fill="0369A1"/>
          </w:tcPr>
          <w:p/>
        </w:tc>
        <w:tc>
          <w:tcPr>
            <w:tcW w:type="dxa" w:w="9072"/>
            <w:shd w:val="clear" w:color="auto" w:fill="EAF2F8"/>
            <w:tcMar>
              <w:top w:w="110" w:type="dxa"/>
              <w:bottom w:w="11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21"/>
              </w:rPr>
              <w:t>扩展的安全底线</w:t>
            </w:r>
          </w:p>
          <w:p>
            <w:pPr>
              <w:spacing w:after="0" w:line="348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20"/>
              </w:rPr>
              <w:t>三条“运行外来逻辑”的路径（自定义解析器、用户算法、AI 生成工具）全部强制经过同一道沙箱关卡——静态白名单 + 子进程资源隔离。可扩展，但不以牺牲安全为代价。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0369A1"/>
        </w:pBdr>
      </w:pPr>
      <w:r>
        <w:rPr>
          <w:rFonts w:ascii="微软雅黑" w:hAnsi="微软雅黑" w:eastAsia="微软雅黑"/>
          <w:b/>
          <w:color w:val="0369A1"/>
          <w:sz w:val="34"/>
        </w:rPr>
        <w:t>07　功能清单（按模块）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以下为产品当前已实现的功能全集，按模块组织。所有条目均对应真实可用的能力。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模块 A　数据接入与数据集管理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6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模块 A：数据接入与数据集管理功能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2448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功能</w:t>
            </w:r>
          </w:p>
        </w:tc>
        <w:tc>
          <w:tcPr>
            <w:tcW w:type="dxa" w:w="6480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多格式上传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CSV / TSV / Excel(多表) / Parquet / JSON 原生支持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仿真/网格接入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CGNS / VTK / STL 网格、Tecplot ASCII 探针数据自动识别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自定义解析器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AI 生成解析器 → 沙箱试解析 → 保存为该扩展名适配器复用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Schema 预览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列名、类型、唯一值数、缺失数、前 N 行预览；类型推断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数据血缘 / DAG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原始 → 派生的操作链全程记录，可逐级回溯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派生与回收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每步结果落为带血缘的 Parquet；派生集宽限期后自动回收，可钉住保留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导出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数据集与结果可导出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模块 B　对话式分析智能体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7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模块 B：对话式分析智能体功能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2448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功能</w:t>
            </w:r>
          </w:p>
        </w:tc>
        <w:tc>
          <w:tcPr>
            <w:tcW w:type="dxa" w:w="6480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ReAct 推理循环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想法→动作→结果回灌，最多 8 步，带熔断（2 警告 / 3 停止）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8 个智能体动作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answer / list_tools / describe_tool / run_tool / generate_tool / visualize / visualize_batch / generate_viz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自动流水线编排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同轮工具输出自动接续；跨轮记忆上一阶段（pipeline_state）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流式输出与留痕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想法/调用/结果/答复逐条 SSE 推送并落库，可重建审计轨迹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自愈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非法 JSON 自动重排，2 次失败回退文字，不中断会话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一键场景启动器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内置 DOE 灵敏度 / 平滑 / 频谱 / 聚类等带样例数据的起步问题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模块 C　算法库（29 个内置算法，6 大类）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8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模块 C：内置算法库（29 个算法，6 大类）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2160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类别</w:t>
            </w:r>
          </w:p>
        </w:tc>
        <w:tc>
          <w:tcPr>
            <w:tcW w:type="dxa" w:w="6768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算法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结构整理（4）</w:t>
            </w:r>
          </w:p>
        </w:tc>
        <w:tc>
          <w:tcPr>
            <w:tcW w:type="dxa" w:w="67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transpose 转置、derived_column 派生列、drop_columns 删列、group_aggregate 分组聚合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预处理（3）</w:t>
            </w:r>
          </w:p>
        </w:tc>
        <w:tc>
          <w:tcPr>
            <w:tcW w:type="dxa" w:w="67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normalize 归一化、fill_missing 缺失填充、outlier_detect 异常检测(IQR/Z/Dixon)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滤波与信号（7）</w:t>
            </w:r>
          </w:p>
        </w:tc>
        <w:tc>
          <w:tcPr>
            <w:tcW w:type="dxa" w:w="67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moving_average、median_filter、gaussian_filter、savgol_filter、butterworth_filter、fft_frequency_analysis 频谱、find_peaks 寻峰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回归与拟合（5）</w:t>
            </w:r>
          </w:p>
        </w:tc>
        <w:tc>
          <w:tcPr>
            <w:tcW w:type="dxa" w:w="67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linear_regression、polynomial_regression、curve_fit(指数/对数/幂/sigmoid)、correlation(Pearson/Spearman/Kendall)、interpolate(线性/三次/RBF…)</w:t>
            </w:r>
          </w:p>
        </w:tc>
      </w:tr>
      <w:tr>
        <w:tc>
          <w:tcPr>
            <w:tcW w:type="dxa" w:w="216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降维与分析（3）</w:t>
            </w:r>
          </w:p>
        </w:tc>
        <w:tc>
          <w:tcPr>
            <w:tcW w:type="dxa" w:w="676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pca(线性/核 PCA)、sensitivity 灵敏度排序(相关/Morris/方差)、kmeans_cluster 聚类</w:t>
            </w:r>
          </w:p>
        </w:tc>
      </w:tr>
    </w:tbl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556474"/>
          <w:sz w:val="18"/>
        </w:rPr>
        <w:t>注：分类按算法功能归并，合计 29 个内置算法；用户自带与 AI 生成的算法不在此列，会随使用持续增长。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2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9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算法库：29 个内置算法按类别（滤波 / 回归拟合 / 降维 / 结构 / 预处理）浏览，可在线配参、试运行、存为模板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模块 D　自我扩展（自带代码 / AI 生成 / 沙箱）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9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模块 D：自我扩展与安全沙箱功能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2448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功能</w:t>
            </w:r>
          </w:p>
        </w:tc>
        <w:tc>
          <w:tcPr>
            <w:tcW w:type="dxa" w:w="6480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上传自有算法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run(df, **params)+META 形态，静态校验 + 测试报告通过后入库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AI 现场生成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描述需求 → 生成算法/解析器/图表代码 → 沙箱测试 → 确认入库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AI 辅助修复/解释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自动修错(autofix)、参数建议、错误解释、结果解释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静态校验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AST 白名单库、禁危险内建与属性、禁网络访问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运行时隔离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子进程 + 墙钟/CPU/内存限额 + 输出截断 + 密钥隔离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模块 E　可视化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10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模块 E：可视化功能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2448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功能</w:t>
            </w:r>
          </w:p>
        </w:tc>
        <w:tc>
          <w:tcPr>
            <w:tcW w:type="dxa" w:w="6480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内置交互图表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折线 / 散点 / 柱状，支持客户端切换 x/y/系列、点数下采样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AI 生成图表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雷达/极坐标、热力、等高线、3D 曲面/散点、箱线/小提琴、平行坐标、桑基等任意 Plotly 图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多数据集叠加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同列指标跨多个数据集叠加于一图对比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批量出图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按数据集或按列批量生成多图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3D / 网格查看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MeshViewer3D 渲染 VTK 网格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模块 F　流程模板（可复用分析小应用）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11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模块 F：流程模板功能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2448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功能</w:t>
            </w:r>
          </w:p>
        </w:tc>
        <w:tc>
          <w:tcPr>
            <w:tcW w:type="dxa" w:w="6480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保存为模板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把一段对话流程固化为有序步骤（动作+算法+参数）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可视化画布编辑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FlowCanvas 增删/调序/改参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一键复跑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换数据集即整套重跑，支持运行时参数覆盖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中间物化与血缘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每步可选物化为派生数据集，自动识别报告型输出不参与续接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模块 G　知识沉淀与反馈回路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12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模块 G：知识沉淀与反馈回路功能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2448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功能</w:t>
            </w:r>
          </w:p>
        </w:tc>
        <w:tc>
          <w:tcPr>
            <w:tcW w:type="dxa" w:w="6480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应用内一键反馈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右下角常驻，分 做不到/做错了/不敢信/想法 四类，自动带上下文与截图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管理员收件箱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按状态(待处理/已查看/已完成)与类型筛选、分流、跳回上下文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列义映射规则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把“U(V)→电压”这类规则沉淀；支持归一化/精确/包含/正则匹配，记命中数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候选→晋升回路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反馈作为候选知识，可晋升为映射规则/新算法/新模板（建设中）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模块 H　账户、权限与大模型接入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13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模块 H：账户、权限与大模型接入功能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2448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功能</w:t>
            </w:r>
          </w:p>
        </w:tc>
        <w:tc>
          <w:tcPr>
            <w:tcW w:type="dxa" w:w="6480"/>
            <w:shd w:val="clear" w:color="auto" w:fill="0369A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注册 / 登录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邮箱+密码，Bcrypt + JWT(HS256)，默认 7 天有效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多租户隔离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算法、设置、反馈按 owner 隔离；可标记公开共享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管理员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查看全部反馈、公共算法，进行分流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BYOK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自填 api_key / base_url / model，切换任意 OpenAI 兼容大模型</w:t>
            </w:r>
          </w:p>
        </w:tc>
      </w:tr>
      <w:tr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多模型支持</w:t>
            </w:r>
          </w:p>
        </w:tc>
        <w:tc>
          <w:tcPr>
            <w:tcW w:type="dxa" w:w="648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DeepSeek 默认，兼容自建/国产/云端商用模型</w:t>
            </w:r>
          </w:p>
        </w:tc>
      </w:tr>
    </w:tbl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556474"/>
          <w:sz w:val="19"/>
        </w:rPr>
        <w:t>界面上，以上能力组织为「对话 / 数据集 / 算法库 / 流程模板 / 反馈收件箱(管理员) / 设置」六个主视图，外加常驻的反馈按钮，导航清晰、彼此联动。</w:t>
      </w: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6D35D6"/>
        </w:pBdr>
      </w:pPr>
      <w:r>
        <w:rPr>
          <w:rFonts w:ascii="微软雅黑" w:hAnsi="微软雅黑" w:eastAsia="微软雅黑"/>
          <w:b/>
          <w:color w:val="6D35D6"/>
          <w:sz w:val="34"/>
        </w:rPr>
        <w:t>08　产品与服务方式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RLab Cortex 既可作为开箱即用的在线服务，也可整套私有化交付。我们按团队规模与合规要求提供分层版本，并以“产品 + 服务”双轮驱动落地。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版本分层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14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RLab Cortex 版本分层与核心内容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3173"/>
        <w:gridCol w:w="3173"/>
        <w:gridCol w:w="3173"/>
      </w:tblGrid>
      <w:tr>
        <w:tc>
          <w:tcPr>
            <w:tcW w:type="dxa" w:w="1440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2448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面向</w:t>
            </w:r>
          </w:p>
        </w:tc>
        <w:tc>
          <w:tcPr>
            <w:tcW w:type="dxa" w:w="5040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核心内容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免费版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个人 / 试用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内置算法库、基本用量额度、支持 BYOK、单用户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专业版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独立工程师 / 小团队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AI 代码生成、保存与版本化自有算法、结果历史、更高用量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团队版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实验室 / 部门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共享算法库、流程模板共享、计划任务、审计日志、优先沙箱队列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企业版</w:t>
            </w:r>
          </w:p>
        </w:tc>
        <w:tc>
          <w:tcPr>
            <w:tcW w:type="dxa" w:w="244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OEM / 大型客户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私有化/本地部署、SSO/RBAC、垂直算法包、专属交付工程师、SLA</w:t>
            </w:r>
          </w:p>
        </w:tc>
      </w:tr>
    </w:tbl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556474"/>
          <w:sz w:val="19"/>
        </w:rPr>
        <w:t>计费采用“席位 + 用量”的混合模式，BYOK 作为企业级解锁项；具体报价按部署形态与规模面议。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服务内容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私有化部署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提供从单机 Compose 到 Kubernetes 的部署方案，数据与模型均可不出内网；支持国内云（阿里云 / 腾讯云）与离线环境。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定制化开发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按客户业务定制专属解析器、垂直算法包（如电池包 / CFD 包）、专属流程模板与界面集成，作为交付物沉淀给客户。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数据接入实施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协助打通客户现有的循环仪 / 采集系统 / 求解器导出，完成首批格式适配与样例流程搭建。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培训与赋能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面向工程师的上手培训与“把私有脚本变成团队工具”的迁移工作坊，帮助团队自运转。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售后支持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企业版提供 SLA 保障、版本升级、问题响应与专属技术对接人；应用内反馈通道直达，问题可带上下文一键提交。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持续演进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客户的高频纠正与需求，经反馈回路沉淀，反哺产品垂直能力的持续增强。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144"/>
            <w:shd w:val="clear" w:color="auto" w:fill="6D35D6"/>
          </w:tcPr>
          <w:p/>
        </w:tc>
        <w:tc>
          <w:tcPr>
            <w:tcW w:type="dxa" w:w="9072"/>
            <w:shd w:val="clear" w:color="auto" w:fill="F1ECFB"/>
            <w:tcMar>
              <w:top w:w="110" w:type="dxa"/>
              <w:bottom w:w="11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21"/>
              </w:rPr>
              <w:t>交付即资产</w:t>
            </w:r>
          </w:p>
          <w:p>
            <w:pPr>
              <w:spacing w:after="0" w:line="348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20"/>
              </w:rPr>
              <w:t>我们交付的不只是一套软件，而是一套“会随你团队一起变厚”的能力容器：定制的解析器、算法与流程模板，都会作为可继承的资产留在客户侧。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0369A1"/>
        </w:pBdr>
      </w:pPr>
      <w:r>
        <w:rPr>
          <w:rFonts w:ascii="微软雅黑" w:hAnsi="微软雅黑" w:eastAsia="微软雅黑"/>
          <w:b/>
          <w:color w:val="0369A1"/>
          <w:sz w:val="34"/>
        </w:rPr>
        <w:t>09　应用案例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以下两个案例分别取自产品锁定的两类客户，展示同一套“可验证 + 自我扩展”内核如何贴合各自痛点。案例为代表性工作流，所用方法与图表均对应产品真实能力。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案例一　电池测试：从多厂商循环数据到可复核的容量衰减结论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客户痛点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某电芯研发团队在新化学体系试制中，同时使用 Maccor 与 Neware 循环仪，导出格式不一；dV/dQ 微分容量分析依赖一位博士的私人 MATLAB 脚本，组内其他人既看不懂也不敢直接用，评审时只能“相信他”。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用 RLab Cortex 的做法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1. 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把两台循环仪的导出文件直接拖入——格式不匹配的那台，让 AI 生成解析器并确认，保存适配器，后续自动套用。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2. 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在对话里要求“对电压-容量曲线做保峰平滑，再求 dV/dQ 并标出特征峰”，智能体自动选用 Savitzky-Golay 滤波 + 寻峰，输出带峰位的曲线。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3. 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继续追问“用容量衰减模型拟合循环-容量数据，给出衰减速率与拟合优度”，调用曲线拟合返回参数、R²、RMSE。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4. 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把这一整套保存为流程模板；下一批电芯数据进来，一键复跑，全员可用。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结果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原先以半天计的“整理 + 分析”工作被显著压缩（具体随数据规模而定）；更关键的是，结论附带完整可追溯链路——评审从“相信某个人”转为“复核这条流程”，那位博士的经验也第一次沉淀为团队可继承的模板。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2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10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测量数据接入后自动识别字段、绘制多通道时序曲线（含电压通道 voltage_v），并给出字段结构概览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案例二　CFD / CAE：参数化 DOE 后处理与灵敏度排序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客户痛点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某气动团队做翼型参数化研究，跑了数十组 DOE 算例，导出一张含厚度、弯度、迎角、后掠角等设计变量与阻力、升力、质量等响应的大表。“到底哪个参数对阻力影响最大、哪个其实没用”，过去靠 Tecplot 脚本加手工画图，繁琐且难以复用，向上汇报还要再拼 PPT。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用 RLab Cortex 的做法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1. 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把 DOE 结果表拖入，直接问“这些设计参数里，哪个对阻力 drag 影响最大、哪个其实没什么用？”。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2. 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智能体自行判断哪些列是输入、哪列是输出，调用灵敏度分析给出排序，并指出最关键的两个因素。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3. 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进一步要求“画出关键参数与阻力的关系，并把升力、阻力、质量做成一张对比图”，自动产出多图。</w:t>
      </w:r>
    </w:p>
    <w:p>
      <w:pPr>
        <w:spacing w:after="80" w:line="348" w:lineRule="auto"/>
        <w:ind w:left="397" w:hanging="397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4. 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把分析固化为模板；下一轮 DOE 算例只需替换数据集即可复跑同一套后处理。</w:t>
      </w:r>
    </w:p>
    <w:p>
      <w:pPr>
        <w:keepNext/>
        <w:spacing w:before="160" w:after="40"/>
      </w:pPr>
      <w:r>
        <w:rPr>
          <w:rFonts w:ascii="微软雅黑" w:hAnsi="微软雅黑" w:eastAsia="微软雅黑"/>
          <w:b/>
          <w:color w:val="121B2A"/>
          <w:sz w:val="22"/>
        </w:rPr>
        <w:t>结果</w:t>
      </w: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后处理从“写脚本 + 手工拼图”变成一次对话；灵敏度结论清晰可复核，多算例对比与汇报图一步到位，参数研究的迭代节奏随之加快。下图为灵敏度排序的示意结果：在该 DOE 数据上，迎角与厚度是阻力的主导因素，后掠角的影响几乎可以忽略。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304"/>
            <w:vAlign w:val="center"/>
            <w:tcMar>
              <w:top w:w="46" w:type="dxa"/>
              <w:bottom w:w="46" w:type="dxa"/>
              <w:start w:w="4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8"/>
              </w:rPr>
              <w:t>迎角 aoa</w:t>
            </w:r>
          </w:p>
        </w:tc>
        <w:tc>
          <w:tcPr>
            <w:tcW w:type="dxa" w:w="5616"/>
            <w:shd w:val="clear" w:color="auto" w:fill="6D35D6"/>
            <w:tcMar>
              <w:top w:w="52" w:type="dxa"/>
              <w:bottom w:w="52" w:type="dxa"/>
              <w:start w:w="40" w:type="dxa"/>
              <w:end w:w="40" w:type="dxa"/>
            </w:tcMar>
          </w:tcPr>
          <w:p/>
        </w:tc>
        <w:tc>
          <w:tcPr>
            <w:tcW w:type="dxa" w:w="0"/>
            <w:shd w:val="clear" w:color="auto" w:fill="F1ECFB"/>
          </w:tcPr>
          <w:p/>
        </w:tc>
        <w:tc>
          <w:tcPr>
            <w:tcW w:type="dxa" w:w="864"/>
            <w:vAlign w:val="center"/>
            <w:tcMar>
              <w:top w:w="46" w:type="dxa"/>
              <w:bottom w:w="46" w:type="dxa"/>
              <w:start w:w="120" w:type="dxa"/>
              <w:end w:w="10" w:type="dxa"/>
            </w:tcMar>
          </w:tcPr>
          <w:p>
            <w:pPr>
              <w:spacing w:after="0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7"/>
              </w:rPr>
              <w:t>影响度 0.82</w:t>
            </w:r>
          </w:p>
        </w:tc>
      </w:tr>
    </w:tbl>
    <w:p>
      <w:pPr>
        <w:spacing w:after="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304"/>
            <w:vAlign w:val="center"/>
            <w:tcMar>
              <w:top w:w="46" w:type="dxa"/>
              <w:bottom w:w="46" w:type="dxa"/>
              <w:start w:w="4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8"/>
              </w:rPr>
              <w:t>厚度 thickness</w:t>
            </w:r>
          </w:p>
        </w:tc>
        <w:tc>
          <w:tcPr>
            <w:tcW w:type="dxa" w:w="2808"/>
            <w:shd w:val="clear" w:color="auto" w:fill="6D35D6"/>
            <w:tcMar>
              <w:top w:w="52" w:type="dxa"/>
              <w:bottom w:w="52" w:type="dxa"/>
              <w:start w:w="40" w:type="dxa"/>
              <w:end w:w="40" w:type="dxa"/>
            </w:tcMar>
          </w:tcPr>
          <w:p/>
        </w:tc>
        <w:tc>
          <w:tcPr>
            <w:tcW w:type="dxa" w:w="2808"/>
            <w:shd w:val="clear" w:color="auto" w:fill="F1ECFB"/>
          </w:tcPr>
          <w:p/>
        </w:tc>
        <w:tc>
          <w:tcPr>
            <w:tcW w:type="dxa" w:w="864"/>
            <w:vAlign w:val="center"/>
            <w:tcMar>
              <w:top w:w="46" w:type="dxa"/>
              <w:bottom w:w="46" w:type="dxa"/>
              <w:start w:w="120" w:type="dxa"/>
              <w:end w:w="10" w:type="dxa"/>
            </w:tcMar>
          </w:tcPr>
          <w:p>
            <w:pPr>
              <w:spacing w:after="0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7"/>
              </w:rPr>
              <w:t>0.41</w:t>
            </w:r>
          </w:p>
        </w:tc>
      </w:tr>
    </w:tbl>
    <w:p>
      <w:pPr>
        <w:spacing w:after="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304"/>
            <w:vAlign w:val="center"/>
            <w:tcMar>
              <w:top w:w="46" w:type="dxa"/>
              <w:bottom w:w="46" w:type="dxa"/>
              <w:start w:w="4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8"/>
              </w:rPr>
              <w:t>弯度 camber</w:t>
            </w:r>
          </w:p>
        </w:tc>
        <w:tc>
          <w:tcPr>
            <w:tcW w:type="dxa" w:w="822"/>
            <w:shd w:val="clear" w:color="auto" w:fill="6D35D6"/>
            <w:tcMar>
              <w:top w:w="52" w:type="dxa"/>
              <w:bottom w:w="52" w:type="dxa"/>
              <w:start w:w="40" w:type="dxa"/>
              <w:end w:w="40" w:type="dxa"/>
            </w:tcMar>
          </w:tcPr>
          <w:p/>
        </w:tc>
        <w:tc>
          <w:tcPr>
            <w:tcW w:type="dxa" w:w="4794"/>
            <w:shd w:val="clear" w:color="auto" w:fill="F1ECFB"/>
          </w:tcPr>
          <w:p/>
        </w:tc>
        <w:tc>
          <w:tcPr>
            <w:tcW w:type="dxa" w:w="864"/>
            <w:vAlign w:val="center"/>
            <w:tcMar>
              <w:top w:w="46" w:type="dxa"/>
              <w:bottom w:w="46" w:type="dxa"/>
              <w:start w:w="120" w:type="dxa"/>
              <w:end w:w="10" w:type="dxa"/>
            </w:tcMar>
          </w:tcPr>
          <w:p>
            <w:pPr>
              <w:spacing w:after="0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7"/>
              </w:rPr>
              <w:t>0.12</w:t>
            </w:r>
          </w:p>
        </w:tc>
      </w:tr>
    </w:tbl>
    <w:p>
      <w:pPr>
        <w:spacing w:after="4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304"/>
            <w:vAlign w:val="center"/>
            <w:tcMar>
              <w:top w:w="46" w:type="dxa"/>
              <w:bottom w:w="46" w:type="dxa"/>
              <w:start w:w="4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8"/>
              </w:rPr>
              <w:t>后掠角 sweep</w:t>
            </w:r>
          </w:p>
        </w:tc>
        <w:tc>
          <w:tcPr>
            <w:tcW w:type="dxa" w:w="274"/>
            <w:shd w:val="clear" w:color="auto" w:fill="6D35D6"/>
            <w:tcMar>
              <w:top w:w="52" w:type="dxa"/>
              <w:bottom w:w="52" w:type="dxa"/>
              <w:start w:w="40" w:type="dxa"/>
              <w:end w:w="40" w:type="dxa"/>
            </w:tcMar>
          </w:tcPr>
          <w:p/>
        </w:tc>
        <w:tc>
          <w:tcPr>
            <w:tcW w:type="dxa" w:w="5342"/>
            <w:shd w:val="clear" w:color="auto" w:fill="F1ECFB"/>
          </w:tcPr>
          <w:p/>
        </w:tc>
        <w:tc>
          <w:tcPr>
            <w:tcW w:type="dxa" w:w="864"/>
            <w:vAlign w:val="center"/>
            <w:tcMar>
              <w:top w:w="46" w:type="dxa"/>
              <w:bottom w:w="46" w:type="dxa"/>
              <w:start w:w="120" w:type="dxa"/>
              <w:end w:w="10" w:type="dxa"/>
            </w:tcMar>
          </w:tcPr>
          <w:p>
            <w:pPr>
              <w:spacing w:after="0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color w:val="556474"/>
                <w:sz w:val="17"/>
              </w:rPr>
              <w:t>0.04</w:t>
            </w:r>
          </w:p>
        </w:tc>
      </w:tr>
    </w:tbl>
    <w:p>
      <w:pPr>
        <w:spacing w:after="40" w:before="0"/>
      </w:pPr>
    </w:p>
    <w:p>
      <w:pPr>
        <w:keepLines/>
        <w:spacing w:before="40" w:after="220"/>
        <w:jc w:val="center"/>
      </w:pPr>
      <w:r>
        <w:rPr>
          <w:rFonts w:ascii="微软雅黑" w:hAnsi="微软雅黑" w:eastAsia="微软雅黑"/>
          <w:b/>
          <w:i w:val="0"/>
          <w:color w:val="8A98A6"/>
          <w:sz w:val="17"/>
        </w:rPr>
        <w:t xml:space="preserve">图 </w:t>
      </w:r>
      <w:r>
        <w:rPr>
          <w:rFonts w:ascii="微软雅黑" w:hAnsi="微软雅黑" w:eastAsia="微软雅黑"/>
          <w:b/>
          <w:color w:val="8A98A6"/>
          <w:sz w:val="17"/>
        </w:rPr>
        <w:fldChar w:fldCharType="begin"/>
        <w:instrText xml:space="preserve"> SEQ Figure \* ARABIC </w:instrText>
        <w:fldChar w:fldCharType="separate"/>
        <w:t>11</w:t>
        <w:fldChar w:fldCharType="end"/>
      </w:r>
      <w:r>
        <w:rPr>
          <w:rFonts w:ascii="微软雅黑" w:hAnsi="微软雅黑" w:eastAsia="微软雅黑"/>
          <w:b w:val="0"/>
          <w:i/>
          <w:color w:val="8A98A6"/>
          <w:sz w:val="17"/>
        </w:rPr>
        <w:t xml:space="preserve">　CFD 案例（示意）：灵敏度分析按对阻力 drag 的影响度对设计参数排序——迎角、厚度主导，后掠角几乎无影响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144"/>
            <w:shd w:val="clear" w:color="auto" w:fill="0369A1"/>
          </w:tcPr>
          <w:p/>
        </w:tc>
        <w:tc>
          <w:tcPr>
            <w:tcW w:type="dxa" w:w="9072"/>
            <w:shd w:val="clear" w:color="auto" w:fill="EAF2F8"/>
            <w:tcMar>
              <w:top w:w="110" w:type="dxa"/>
              <w:bottom w:w="11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0369A1"/>
                <w:sz w:val="21"/>
              </w:rPr>
              <w:t>两个案例，同一个内核</w:t>
            </w:r>
          </w:p>
          <w:p>
            <w:pPr>
              <w:spacing w:after="0" w:line="348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20"/>
              </w:rPr>
              <w:t>电池与 CFD 表面是两回事，但痛点同构：数据读不进、方法锁在个人手里、结论不敢信。RLab Cortex 用同一套“可验证 + 自我扩展”内核同时命中——这正是它能从一个垂直场景平滑复制到下一个场景的基础。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400" w:after="40"/>
        <w:pBdr>
          <w:bottom w:val="single" w:sz="10" w:space="4" w:color="6D35D6"/>
        </w:pBdr>
      </w:pPr>
      <w:r>
        <w:rPr>
          <w:rFonts w:ascii="微软雅黑" w:hAnsi="微软雅黑" w:eastAsia="微软雅黑"/>
          <w:b/>
          <w:color w:val="6D35D6"/>
          <w:sz w:val="34"/>
        </w:rPr>
        <w:t>10　未来发展方向</w:t>
      </w:r>
    </w:p>
    <w:p>
      <w:pPr>
        <w:spacing w:after="40"/>
      </w:pPr>
    </w:p>
    <w:p>
      <w:pPr>
        <w:spacing w:before="0" w:after="140" w:line="360" w:lineRule="auto"/>
        <w:ind w:firstLineChars="200" w:firstLine="420"/>
      </w:pPr>
      <w:r>
        <w:rPr>
          <w:rFonts w:ascii="微软雅黑" w:hAnsi="微软雅黑" w:eastAsia="微软雅黑"/>
          <w:b w:val="0"/>
          <w:i w:val="0"/>
          <w:color w:val="121B2A"/>
          <w:sz w:val="21"/>
        </w:rPr>
        <w:t>RLab Cortex 的演进有一条清晰主线：让“可验证”更深、让“自我扩展”更自动、让沉淀的资产形成跨团队复利。</w:t>
      </w: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产品路线图</w:t>
      </w:r>
    </w:p>
    <w:p>
      <w:pPr>
        <w:keepNext/>
        <w:spacing w:before="160" w:after="60"/>
        <w:jc w:val="center"/>
      </w:pP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表 </w:t>
      </w:r>
      <w:r>
        <w:rPr>
          <w:rFonts w:ascii="微软雅黑" w:hAnsi="微软雅黑" w:eastAsia="微软雅黑"/>
          <w:b/>
          <w:color w:val="556474"/>
          <w:sz w:val="17"/>
        </w:rPr>
        <w:fldChar w:fldCharType="begin"/>
        <w:instrText xml:space="preserve"> SEQ Table \* ARABIC </w:instrText>
        <w:fldChar w:fldCharType="separate"/>
        <w:t>15</w:t>
        <w:fldChar w:fldCharType="end"/>
      </w:r>
      <w:r>
        <w:rPr>
          <w:rFonts w:ascii="微软雅黑" w:hAnsi="微软雅黑" w:eastAsia="微软雅黑"/>
          <w:b/>
          <w:i w:val="0"/>
          <w:color w:val="556474"/>
          <w:sz w:val="17"/>
        </w:rPr>
        <w:t xml:space="preserve">　产品演进路线图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4EC"/>
          <w:bottom w:val="single" w:sz="4" w:space="0" w:color="D9E4EC"/>
          <w:left w:val="single" w:sz="4" w:space="0" w:color="D9E4EC"/>
          <w:right w:val="single" w:sz="4" w:space="0" w:color="D9E4EC"/>
          <w:insideH w:val="single" w:sz="4" w:space="0" w:color="D9E4EC"/>
          <w:insideV w:val="single" w:sz="4" w:space="0" w:color="D9E4EC"/>
        </w:tblBorders>
      </w:tblPr>
      <w:tblGrid>
        <w:gridCol w:w="4759"/>
        <w:gridCol w:w="4759"/>
      </w:tblGrid>
      <w:tr>
        <w:tc>
          <w:tcPr>
            <w:tcW w:type="dxa" w:w="1440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7488"/>
            <w:shd w:val="clear" w:color="auto" w:fill="6D35D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20"/>
              </w:rPr>
              <w:t>重点方向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近期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电池包(Battery Pack)：Maccor/Arbin/Neware 解析器 + dV/dQ·ICA·GITT 求解器成套；激活算法跨用户继承（is_public）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中期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团队版正式发布：共享算法库、计划任务、审计日志；存储与数据库切换到 Postgres + S3/OSS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后续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CFD 包：OpenFOAM/Fluent 解析、DOE 后处理成套；上架云市场（阿里云 / 腾讯云 / AWS）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企业化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4F8FB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企业包：VPC / SSO / 审计；更强沙箱隔离（microVM 级）</w:t>
            </w:r>
          </w:p>
        </w:tc>
      </w:tr>
      <w:tr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/>
                <w:i w:val="0"/>
                <w:color w:val="121B2A"/>
                <w:sz w:val="19"/>
              </w:rPr>
              <w:t>第三场景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12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19"/>
              </w:rPr>
              <w:t>NVH / 耐久测试包：把垂直复制的方法论推向第三个领域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60"/>
      </w:pPr>
      <w:r>
        <w:rPr>
          <w:rFonts w:ascii="微软雅黑" w:hAnsi="微软雅黑" w:eastAsia="微软雅黑"/>
          <w:b/>
          <w:color w:val="0369A1"/>
          <w:sz w:val="25"/>
        </w:rPr>
        <w:t>能力演进的三个方向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判断类知识的沉淀回路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目前解析器、算法、流程模板三类“可执行知识”已能沉淀；下一步是把“某列其实是电压、某阈值算异常、某结果看着对”这类专家判断，经“候选 → 评审 → 晋升”回路沉淀为可继承资产——这是产品最核心的竞争壁垒。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失败驱动的改进回路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把产品自身反复出错的地方（解析失败、列选错、阈值被改、结果被否）作为改进的稳定来源：专家一次纠正，团队整体持续受益，让 AI 在本垂直领域的成功率随使用稳步提升。</w:t>
      </w:r>
    </w:p>
    <w:p>
      <w:pPr>
        <w:spacing w:after="80" w:line="348" w:lineRule="auto"/>
        <w:ind w:left="340" w:hanging="198"/>
      </w:pPr>
      <w:r>
        <w:rPr>
          <w:rFonts w:ascii="微软雅黑" w:hAnsi="微软雅黑" w:eastAsia="微软雅黑"/>
          <w:b/>
          <w:i w:val="0"/>
          <w:color w:val="0369A1"/>
          <w:sz w:val="21"/>
        </w:rPr>
        <w:t xml:space="preserve">▪ </w:t>
      </w:r>
      <w:r>
        <w:rPr>
          <w:rFonts w:ascii="微软雅黑" w:hAnsi="微软雅黑" w:eastAsia="微软雅黑"/>
          <w:b/>
          <w:i w:val="0"/>
          <w:color w:val="121B2A"/>
          <w:sz w:val="21"/>
        </w:rPr>
        <w:t xml:space="preserve">更强的隔离与合规　</w:t>
      </w:r>
      <w:r>
        <w:rPr>
          <w:rFonts w:ascii="微软雅黑" w:hAnsi="微软雅黑" w:eastAsia="微软雅黑"/>
          <w:b w:val="0"/>
          <w:i w:val="0"/>
          <w:color w:val="121B2A"/>
          <w:sz w:val="21"/>
        </w:rPr>
        <w:t>面向国防/航空等敏感电池数据场景，提供更高保障级别的隔离与本地化部署，把“可信”从结论层延伸到运行环境层。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144"/>
            <w:shd w:val="clear" w:color="auto" w:fill="6D35D6"/>
          </w:tcPr>
          <w:p/>
        </w:tc>
        <w:tc>
          <w:tcPr>
            <w:tcW w:type="dxa" w:w="9072"/>
            <w:shd w:val="clear" w:color="auto" w:fill="F1ECFB"/>
            <w:tcMar>
              <w:top w:w="110" w:type="dxa"/>
              <w:bottom w:w="110" w:type="dxa"/>
              <w:start w:w="200" w:type="dxa"/>
              <w:end w:w="160" w:type="dxa"/>
            </w:tcMar>
          </w:tcPr>
          <w:p>
            <w:pPr>
              <w:spacing w:after="60"/>
            </w:pPr>
            <w:r>
              <w:rPr>
                <w:rFonts w:ascii="微软雅黑" w:hAnsi="微软雅黑" w:eastAsia="微软雅黑"/>
                <w:b/>
                <w:i w:val="0"/>
                <w:color w:val="6D35D6"/>
                <w:sz w:val="21"/>
              </w:rPr>
              <w:t>北极星</w:t>
            </w:r>
          </w:p>
          <w:p>
            <w:pPr>
              <w:spacing w:after="0" w:line="348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21B2A"/>
                <w:sz w:val="20"/>
              </w:rPr>
              <w:t>RLab Cortex 不追求做“一个更聪明的 AI”，而是做一个能把专家经验装进去、让非专家也能信任使用的「容器」。每一次专家的使用与纠正，都让这个容器对下一个用户更可靠——这就是我们要建的知识飞轮。</w:t>
            </w:r>
          </w:p>
        </w:tc>
      </w:tr>
    </w:tbl>
    <w:p>
      <w:pPr>
        <w:spacing w:after="40"/>
      </w:pPr>
    </w:p>
    <w:p>
      <w:pPr>
        <w:spacing w:after="160"/>
      </w:pPr>
    </w:p>
    <w:p>
      <w:pPr>
        <w:jc w:val="center"/>
        <w:pBdr>
          <w:bottom w:val="single" w:sz="6" w:space="4" w:color="D9E4EC"/>
        </w:pBdr>
      </w:pP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56474"/>
          <w:sz w:val="18"/>
        </w:rPr>
        <w:t>RLab · Cortex 智能体矩阵　｜　RLab Cortex 可验证数据分析智能体</w:t>
      </w:r>
    </w:p>
    <w:p>
      <w:pPr>
        <w:spacing w:after="0"/>
        <w:jc w:val="center"/>
      </w:pPr>
      <w:r>
        <w:rPr>
          <w:rFonts w:ascii="微软雅黑" w:hAnsi="微软雅黑" w:eastAsia="微软雅黑"/>
          <w:b w:val="0"/>
          <w:i/>
          <w:color w:val="8A98A6"/>
          <w:sz w:val="17"/>
        </w:rPr>
        <w:t>本白皮书内容对应产品真实能力 ｜ v1.0 ｜ 2026-06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微软雅黑" w:hAnsi="微软雅黑" w:eastAsia="微软雅黑"/>
      <w:color w:val="121B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