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0D609">
      <w:pPr>
        <w:jc w:val="left"/>
        <w:rPr>
          <w:rFonts w:hint="eastAsia" w:ascii="宋体" w:hAnsi="宋体" w:eastAsia="宋体" w:cs="宋体"/>
          <w:color w:val="000000"/>
          <w:szCs w:val="21"/>
          <w:lang w:val="en-US" w:eastAsia="zh-CN"/>
        </w:rPr>
      </w:pPr>
      <w:r>
        <w:rPr>
          <w:rFonts w:hint="eastAsia" w:ascii="Times New Roman" w:hAnsi="Times New Roman" w:eastAsia="宋体" w:cs="Times New Roman"/>
          <w:color w:val="000000"/>
          <w:szCs w:val="21"/>
        </w:rPr>
        <w:t>附件</w:t>
      </w:r>
      <w:r>
        <w:rPr>
          <w:rFonts w:hint="eastAsia" w:ascii="宋体" w:hAnsi="宋体" w:cs="宋体"/>
          <w:color w:val="000000"/>
          <w:szCs w:val="21"/>
          <w:lang w:val="en-US" w:eastAsia="zh-CN"/>
        </w:rPr>
        <w:t>四</w:t>
      </w:r>
    </w:p>
    <w:p w14:paraId="7AD32E51">
      <w:pPr>
        <w:jc w:val="center"/>
        <w:rPr>
          <w:rFonts w:ascii="黑体" w:eastAsia="黑体" w:cs="Times New Roman"/>
          <w:b/>
          <w:bCs/>
          <w:sz w:val="32"/>
          <w:szCs w:val="32"/>
        </w:rPr>
      </w:pPr>
      <w:r>
        <w:rPr>
          <w:rFonts w:hint="eastAsia" w:ascii="黑体" w:eastAsia="黑体" w:cs="Times New Roman"/>
          <w:b/>
          <w:bCs/>
          <w:sz w:val="32"/>
          <w:szCs w:val="32"/>
        </w:rPr>
        <w:t>本科毕业论文开题报告表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610"/>
        <w:gridCol w:w="1344"/>
        <w:gridCol w:w="893"/>
        <w:gridCol w:w="1282"/>
        <w:gridCol w:w="1303"/>
        <w:gridCol w:w="1808"/>
      </w:tblGrid>
      <w:tr w14:paraId="299E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8" w:hRule="atLeast"/>
          <w:jc w:val="center"/>
        </w:trPr>
        <w:tc>
          <w:tcPr>
            <w:tcW w:w="1218" w:type="dxa"/>
            <w:vAlign w:val="center"/>
          </w:tcPr>
          <w:p w14:paraId="51CD9ED8">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学生姓名</w:t>
            </w:r>
          </w:p>
        </w:tc>
        <w:tc>
          <w:tcPr>
            <w:tcW w:w="1610" w:type="dxa"/>
            <w:vAlign w:val="center"/>
          </w:tcPr>
          <w:p w14:paraId="42E2C15F">
            <w:pPr>
              <w:jc w:val="center"/>
              <w:rPr>
                <w:rFonts w:ascii="Times New Roman" w:hAnsi="Times New Roman" w:eastAsia="宋体" w:cs="Times New Roman"/>
                <w:sz w:val="24"/>
                <w:szCs w:val="24"/>
              </w:rPr>
            </w:pPr>
            <w:r>
              <w:rPr>
                <w:rFonts w:hint="eastAsia" w:ascii="宋体" w:hAnsi="宋体"/>
                <w:sz w:val="24"/>
                <w:lang w:val="en-US" w:eastAsia="zh-CN"/>
              </w:rPr>
              <w:t>王俊博</w:t>
            </w:r>
          </w:p>
        </w:tc>
        <w:tc>
          <w:tcPr>
            <w:tcW w:w="1344" w:type="dxa"/>
            <w:vAlign w:val="center"/>
          </w:tcPr>
          <w:p w14:paraId="48AC2E9A">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 院</w:t>
            </w:r>
          </w:p>
        </w:tc>
        <w:tc>
          <w:tcPr>
            <w:tcW w:w="2175" w:type="dxa"/>
            <w:gridSpan w:val="2"/>
            <w:vAlign w:val="center"/>
          </w:tcPr>
          <w:p w14:paraId="17DFD9A0">
            <w:pPr>
              <w:jc w:val="center"/>
              <w:rPr>
                <w:rFonts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人工智能学院</w:t>
            </w:r>
          </w:p>
        </w:tc>
        <w:tc>
          <w:tcPr>
            <w:tcW w:w="1303" w:type="dxa"/>
            <w:vMerge w:val="restart"/>
            <w:vAlign w:val="center"/>
          </w:tcPr>
          <w:p w14:paraId="47C972F6">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专业</w:t>
            </w:r>
          </w:p>
          <w:p w14:paraId="2137F581">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（方向）</w:t>
            </w:r>
          </w:p>
        </w:tc>
        <w:tc>
          <w:tcPr>
            <w:tcW w:w="1808" w:type="dxa"/>
            <w:vMerge w:val="restart"/>
            <w:vAlign w:val="center"/>
          </w:tcPr>
          <w:p w14:paraId="6CBEEAC8">
            <w:pPr>
              <w:jc w:val="center"/>
              <w:rPr>
                <w:rFonts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数据科学与大数据技术</w:t>
            </w:r>
          </w:p>
        </w:tc>
      </w:tr>
      <w:tr w14:paraId="79F0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2" w:hRule="atLeast"/>
          <w:jc w:val="center"/>
        </w:trPr>
        <w:tc>
          <w:tcPr>
            <w:tcW w:w="1218" w:type="dxa"/>
            <w:vAlign w:val="center"/>
          </w:tcPr>
          <w:p w14:paraId="5D1E1E23">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班 级</w:t>
            </w:r>
          </w:p>
        </w:tc>
        <w:tc>
          <w:tcPr>
            <w:tcW w:w="1610" w:type="dxa"/>
            <w:vAlign w:val="center"/>
          </w:tcPr>
          <w:p w14:paraId="773B8D23">
            <w:pPr>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数据科学与大数据技术</w:t>
            </w:r>
            <w:r>
              <w:rPr>
                <w:rFonts w:hint="eastAsia" w:ascii="Times New Roman" w:hAnsi="Times New Roman" w:cs="Times New Roman"/>
                <w:sz w:val="24"/>
                <w:szCs w:val="24"/>
                <w:lang w:val="en-US" w:eastAsia="zh-CN"/>
              </w:rPr>
              <w:t>2301</w:t>
            </w:r>
          </w:p>
        </w:tc>
        <w:tc>
          <w:tcPr>
            <w:tcW w:w="1344" w:type="dxa"/>
            <w:vAlign w:val="center"/>
          </w:tcPr>
          <w:p w14:paraId="3FD29D03">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 号</w:t>
            </w:r>
          </w:p>
        </w:tc>
        <w:tc>
          <w:tcPr>
            <w:tcW w:w="2175" w:type="dxa"/>
            <w:gridSpan w:val="2"/>
            <w:vAlign w:val="center"/>
          </w:tcPr>
          <w:p w14:paraId="2B48AE61">
            <w:pPr>
              <w:jc w:val="center"/>
              <w:rPr>
                <w:rFonts w:ascii="Times New Roman" w:hAnsi="Times New Roman" w:eastAsia="宋体" w:cs="Times New Roman"/>
                <w:sz w:val="24"/>
                <w:szCs w:val="24"/>
                <w:lang w:val="en-US" w:eastAsia="zh-CN"/>
              </w:rPr>
            </w:pPr>
            <w:r>
              <w:rPr>
                <w:rFonts w:hint="eastAsia" w:ascii="宋体" w:hAnsi="宋体"/>
                <w:sz w:val="24"/>
                <w:lang w:val="en-US" w:eastAsia="zh-CN"/>
              </w:rPr>
              <w:t>2023000287</w:t>
            </w:r>
          </w:p>
        </w:tc>
        <w:tc>
          <w:tcPr>
            <w:tcW w:w="1303" w:type="dxa"/>
            <w:vMerge w:val="continue"/>
            <w:vAlign w:val="center"/>
          </w:tcPr>
          <w:p w14:paraId="6958D39C"/>
        </w:tc>
        <w:tc>
          <w:tcPr>
            <w:tcW w:w="1808" w:type="dxa"/>
            <w:vMerge w:val="continue"/>
            <w:vAlign w:val="center"/>
          </w:tcPr>
          <w:p w14:paraId="050DD5FA"/>
        </w:tc>
      </w:tr>
      <w:tr w14:paraId="7474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7" w:hRule="atLeast"/>
          <w:jc w:val="center"/>
        </w:trPr>
        <w:tc>
          <w:tcPr>
            <w:tcW w:w="1218" w:type="dxa"/>
            <w:vMerge w:val="restart"/>
            <w:vAlign w:val="center"/>
          </w:tcPr>
          <w:p w14:paraId="198119F0">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指导</w:t>
            </w:r>
          </w:p>
          <w:p w14:paraId="3423D37E">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教师</w:t>
            </w:r>
          </w:p>
        </w:tc>
        <w:tc>
          <w:tcPr>
            <w:tcW w:w="1610" w:type="dxa"/>
            <w:vAlign w:val="center"/>
          </w:tcPr>
          <w:p w14:paraId="0CE6194B">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姓 名</w:t>
            </w:r>
          </w:p>
        </w:tc>
        <w:tc>
          <w:tcPr>
            <w:tcW w:w="2237" w:type="dxa"/>
            <w:gridSpan w:val="2"/>
            <w:vAlign w:val="center"/>
          </w:tcPr>
          <w:p w14:paraId="62D6EA23">
            <w:pPr>
              <w:jc w:val="center"/>
              <w:rPr>
                <w:rFonts w:ascii="Times New Roman" w:hAnsi="Times New Roman" w:eastAsia="宋体" w:cs="Times New Roman"/>
                <w:sz w:val="24"/>
                <w:szCs w:val="24"/>
                <w:lang w:val="en-US" w:eastAsia="zh-CN"/>
              </w:rPr>
            </w:pPr>
            <w:r>
              <w:rPr>
                <w:rFonts w:hint="eastAsia" w:ascii="宋体" w:hAnsi="宋体"/>
                <w:sz w:val="24"/>
                <w:lang w:val="en-US" w:eastAsia="zh-CN"/>
              </w:rPr>
              <w:t>于秋野</w:t>
            </w:r>
          </w:p>
        </w:tc>
        <w:tc>
          <w:tcPr>
            <w:tcW w:w="1282" w:type="dxa"/>
            <w:vAlign w:val="center"/>
          </w:tcPr>
          <w:p w14:paraId="7058F853">
            <w:pPr>
              <w:jc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称职</w:t>
            </w:r>
          </w:p>
        </w:tc>
        <w:tc>
          <w:tcPr>
            <w:tcW w:w="3111" w:type="dxa"/>
            <w:gridSpan w:val="2"/>
            <w:vAlign w:val="center"/>
          </w:tcPr>
          <w:p w14:paraId="52A91C14">
            <w:pPr>
              <w:jc w:val="center"/>
              <w:rPr>
                <w:rFonts w:ascii="等线" w:hAnsi="等线" w:eastAsia="宋体" w:cs="Arial"/>
                <w:kern w:val="2"/>
                <w:sz w:val="24"/>
                <w:szCs w:val="22"/>
                <w:lang w:val="en-US" w:eastAsia="zh-CN" w:bidi="ar-SA"/>
              </w:rPr>
            </w:pPr>
            <w:r>
              <w:rPr>
                <w:rFonts w:hint="eastAsia" w:ascii="宋体" w:hAnsi="宋体"/>
                <w:sz w:val="24"/>
                <w:lang w:val="en-US" w:eastAsia="zh-CN"/>
              </w:rPr>
              <w:t>副教授</w:t>
            </w:r>
          </w:p>
        </w:tc>
      </w:tr>
      <w:tr w14:paraId="05D6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8" w:type="dxa"/>
            <w:vMerge w:val="continue"/>
            <w:vAlign w:val="center"/>
          </w:tcPr>
          <w:p w14:paraId="1995A299"/>
        </w:tc>
        <w:tc>
          <w:tcPr>
            <w:tcW w:w="1610" w:type="dxa"/>
            <w:vAlign w:val="center"/>
          </w:tcPr>
          <w:p w14:paraId="2BACC67C">
            <w:pPr>
              <w:jc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姓 名</w:t>
            </w:r>
          </w:p>
        </w:tc>
        <w:tc>
          <w:tcPr>
            <w:tcW w:w="2237" w:type="dxa"/>
            <w:gridSpan w:val="2"/>
            <w:vAlign w:val="center"/>
          </w:tcPr>
          <w:p w14:paraId="1A515B9C">
            <w:pPr>
              <w:jc w:val="center"/>
              <w:rPr>
                <w:rFonts w:ascii="Times New Roman" w:hAnsi="Times New Roman" w:eastAsia="宋体" w:cs="Times New Roman"/>
                <w:sz w:val="24"/>
                <w:szCs w:val="24"/>
                <w:lang w:val="en-US" w:eastAsia="zh-CN"/>
              </w:rPr>
            </w:pPr>
          </w:p>
        </w:tc>
        <w:tc>
          <w:tcPr>
            <w:tcW w:w="1282" w:type="dxa"/>
            <w:vAlign w:val="center"/>
          </w:tcPr>
          <w:p w14:paraId="14882D9B">
            <w:pPr>
              <w:jc w:val="center"/>
              <w:rPr>
                <w:rFonts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工作单位</w:t>
            </w:r>
          </w:p>
        </w:tc>
        <w:tc>
          <w:tcPr>
            <w:tcW w:w="3111" w:type="dxa"/>
            <w:gridSpan w:val="2"/>
            <w:vAlign w:val="center"/>
          </w:tcPr>
          <w:p w14:paraId="529A6120">
            <w:pPr>
              <w:jc w:val="center"/>
              <w:rPr>
                <w:rFonts w:cs="Arial"/>
                <w:kern w:val="2"/>
                <w:sz w:val="24"/>
                <w:szCs w:val="22"/>
                <w:lang w:val="en-US" w:eastAsia="zh-CN" w:bidi="ar-SA"/>
              </w:rPr>
            </w:pPr>
          </w:p>
        </w:tc>
      </w:tr>
      <w:tr w14:paraId="787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218" w:type="dxa"/>
            <w:vMerge w:val="restart"/>
            <w:vAlign w:val="center"/>
          </w:tcPr>
          <w:p w14:paraId="581E3795">
            <w:pPr>
              <w:jc w:val="center"/>
              <w:rPr>
                <w:rFonts w:ascii="Times New Roman" w:hAnsi="Times New Roman" w:eastAsia="宋体" w:cs="Times New Roman"/>
                <w:sz w:val="28"/>
                <w:szCs w:val="24"/>
              </w:rPr>
            </w:pPr>
          </w:p>
          <w:p w14:paraId="6D7B66B1">
            <w:pPr>
              <w:jc w:val="center"/>
              <w:rPr>
                <w:rFonts w:ascii="Times New Roman" w:hAnsi="Times New Roman" w:eastAsia="宋体" w:cs="Times New Roman"/>
                <w:sz w:val="28"/>
                <w:szCs w:val="24"/>
              </w:rPr>
            </w:pPr>
          </w:p>
          <w:p w14:paraId="39493F52">
            <w:pPr>
              <w:jc w:val="center"/>
              <w:rPr>
                <w:rFonts w:ascii="Times New Roman" w:hAnsi="Times New Roman" w:eastAsia="宋体" w:cs="Times New Roman"/>
                <w:sz w:val="28"/>
                <w:szCs w:val="24"/>
              </w:rPr>
            </w:pPr>
          </w:p>
          <w:p w14:paraId="68A2DC65">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开</w:t>
            </w:r>
          </w:p>
          <w:p w14:paraId="5BB1FD42">
            <w:pPr>
              <w:rPr>
                <w:rFonts w:ascii="Times New Roman" w:hAnsi="Times New Roman" w:eastAsia="宋体" w:cs="Times New Roman"/>
                <w:sz w:val="28"/>
                <w:szCs w:val="24"/>
              </w:rPr>
            </w:pPr>
          </w:p>
          <w:p w14:paraId="61FF87E0">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题</w:t>
            </w:r>
          </w:p>
          <w:p w14:paraId="3AA30839">
            <w:pPr>
              <w:rPr>
                <w:rFonts w:ascii="Times New Roman" w:hAnsi="Times New Roman" w:eastAsia="宋体" w:cs="Times New Roman"/>
                <w:sz w:val="28"/>
                <w:szCs w:val="24"/>
              </w:rPr>
            </w:pPr>
          </w:p>
          <w:p w14:paraId="0023C81B">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报</w:t>
            </w:r>
          </w:p>
          <w:p w14:paraId="043F0E0D">
            <w:pPr>
              <w:rPr>
                <w:rFonts w:ascii="Times New Roman" w:hAnsi="Times New Roman" w:eastAsia="宋体" w:cs="Times New Roman"/>
                <w:sz w:val="28"/>
                <w:szCs w:val="24"/>
              </w:rPr>
            </w:pPr>
          </w:p>
          <w:p w14:paraId="6384E2D6">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告</w:t>
            </w:r>
          </w:p>
          <w:p w14:paraId="49A85E42">
            <w:pPr>
              <w:rPr>
                <w:rFonts w:ascii="Times New Roman" w:hAnsi="Times New Roman" w:eastAsia="宋体" w:cs="Times New Roman"/>
                <w:sz w:val="28"/>
                <w:szCs w:val="24"/>
              </w:rPr>
            </w:pPr>
          </w:p>
          <w:p w14:paraId="5737A0A9">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内</w:t>
            </w:r>
          </w:p>
          <w:p w14:paraId="52C3728C">
            <w:pPr>
              <w:rPr>
                <w:rFonts w:ascii="Times New Roman" w:hAnsi="Times New Roman" w:eastAsia="宋体" w:cs="Times New Roman"/>
                <w:sz w:val="28"/>
                <w:szCs w:val="24"/>
              </w:rPr>
            </w:pPr>
          </w:p>
          <w:p w14:paraId="3AB29F15">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容</w:t>
            </w:r>
          </w:p>
          <w:p w14:paraId="02F5DA1A">
            <w:pPr>
              <w:rPr>
                <w:rFonts w:ascii="Times New Roman" w:hAnsi="Times New Roman" w:eastAsia="宋体" w:cs="Times New Roman"/>
                <w:sz w:val="28"/>
                <w:szCs w:val="24"/>
              </w:rPr>
            </w:pPr>
          </w:p>
          <w:p w14:paraId="63D11CCD">
            <w:pPr>
              <w:rPr>
                <w:rFonts w:ascii="Times New Roman" w:hAnsi="Times New Roman" w:eastAsia="宋体" w:cs="Times New Roman"/>
                <w:sz w:val="28"/>
                <w:szCs w:val="24"/>
              </w:rPr>
            </w:pPr>
          </w:p>
          <w:p w14:paraId="74E9077E">
            <w:pPr>
              <w:rPr>
                <w:rFonts w:ascii="Times New Roman" w:hAnsi="Times New Roman" w:eastAsia="宋体" w:cs="Times New Roman"/>
                <w:sz w:val="28"/>
                <w:szCs w:val="24"/>
              </w:rPr>
            </w:pPr>
          </w:p>
        </w:tc>
        <w:tc>
          <w:tcPr>
            <w:tcW w:w="8240" w:type="dxa"/>
            <w:gridSpan w:val="6"/>
            <w:vAlign w:val="top"/>
          </w:tcPr>
          <w:p w14:paraId="101AA4BC">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rPr>
                <w:rFonts w:hint="eastAsia"/>
                <w:sz w:val="24"/>
              </w:rPr>
              <w:t>题目(中、外文)：</w:t>
            </w:r>
          </w:p>
          <w:p w14:paraId="335EE527">
            <w:pPr>
              <w:keepNext w:val="0"/>
              <w:keepLines w:val="0"/>
              <w:pageBreakBefore w:val="0"/>
              <w:widowControl w:val="0"/>
              <w:kinsoku/>
              <w:wordWrap/>
              <w:overflowPunct/>
              <w:topLinePunct w:val="0"/>
              <w:autoSpaceDE/>
              <w:autoSpaceDN/>
              <w:bidi w:val="0"/>
              <w:adjustRightInd/>
              <w:snapToGrid/>
              <w:spacing w:before="0" w:after="0" w:line="400" w:lineRule="exact"/>
              <w:textAlignment w:val="auto"/>
              <w:rPr>
                <w:sz w:val="24"/>
                <w:szCs w:val="24"/>
              </w:rPr>
            </w:pPr>
            <w:r>
              <w:rPr>
                <w:rFonts w:ascii="Times New Roman" w:hAnsi="Times New Roman" w:eastAsia="宋体"/>
                <w:sz w:val="24"/>
                <w:szCs w:val="24"/>
              </w:rPr>
              <w:t>基于多源异构数据驱动的学术研究智能支持系统的设计与实现</w:t>
            </w:r>
          </w:p>
          <w:p w14:paraId="06B52745">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sz w:val="24"/>
              </w:rPr>
              <w:t>Design and Implementation of an Intelligent Academic Research Support System Driven by Multi-Source Heterogeneous Data</w:t>
            </w:r>
          </w:p>
        </w:tc>
      </w:tr>
      <w:tr w14:paraId="620B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218" w:type="dxa"/>
            <w:vMerge w:val="continue"/>
          </w:tcPr>
          <w:p w14:paraId="0EAF3284"/>
        </w:tc>
        <w:tc>
          <w:tcPr>
            <w:tcW w:w="8240" w:type="dxa"/>
            <w:gridSpan w:val="6"/>
            <w:vAlign w:val="top"/>
          </w:tcPr>
          <w:p w14:paraId="1EF5659C">
            <w:pPr>
              <w:rPr>
                <w:sz w:val="24"/>
              </w:rPr>
            </w:pPr>
            <w:r>
              <w:rPr>
                <w:rFonts w:hint="eastAsia"/>
                <w:sz w:val="24"/>
              </w:rPr>
              <w:t>选题的目的和意义：</w:t>
            </w:r>
          </w:p>
          <w:p w14:paraId="7BD6DA1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学术研究依赖文献、代码修订与实验产物等多源异构数据，这些数据形态不同、来源分散，却共同驱动假设提出、实验执行与结论形成。现有科研辅助系统对上述数据的接入与使用仍不充分：或缺少统一登记与来源追踪，使结论难以核对到原始输入与运行工件；或虽引入大语言模型辅助生成，却缺少状态机约束与独立评估，导致分数、引用与结论性表述无法回溯到冻结输入。</w:t>
            </w:r>
          </w:p>
          <w:p w14:paraId="2F895C5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课题拟设计并实现基于多源异构数据驱动的学术研究智能支持系统：以文献、代码修订和实验产物为驱动输入，经分源登记与内容摘要进入科研内核；由内核约束假设、实验设计与结论流转，并由独立评估重算分数与科学判断，使结论可核对、过程可审计，为个人研究者提供本地优先的科研基础设施。</w:t>
            </w:r>
          </w:p>
        </w:tc>
      </w:tr>
      <w:tr w14:paraId="1FE33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7" w:hRule="atLeast"/>
          <w:jc w:val="center"/>
        </w:trPr>
        <w:tc>
          <w:tcPr>
            <w:tcW w:w="1218" w:type="dxa"/>
            <w:vMerge w:val="continue"/>
          </w:tcPr>
          <w:p w14:paraId="6E74F225"/>
        </w:tc>
        <w:tc>
          <w:tcPr>
            <w:tcW w:w="8240" w:type="dxa"/>
            <w:gridSpan w:val="6"/>
            <w:vAlign w:val="top"/>
          </w:tcPr>
          <w:p w14:paraId="0BD63771">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rPr>
                <w:rFonts w:hint="eastAsia"/>
                <w:sz w:val="24"/>
              </w:rPr>
              <w:t>拟研究的内容、思路与方法：</w:t>
            </w:r>
          </w:p>
          <w:p w14:paraId="1375B1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课题围绕多源异构数据驱动的学术研究智能支持系统展开，主要内容分四部分。（1）多源异构驱动输入的登记与证据化。以文献、代码修订和实验产物三类异构数据为驱动来源：文献记录查询范围、来源与全文可达性，不可达内容保持未验证；代码以不可变修订及其内容摘要进入运行；数据集与运行产物按角色登记摘要并绑定到相应科研对象；三类输入分源登记、以摘要关联，不合并为直接生成结论的统一文本。（2）科研对象、状态机与写入边界。定义研究、假设、实验设计、观察、决策和声明等类型化对象；修订只产生后继版本，实验设计冻结后不可更改；每类对象仅有一个权威写入方；智能体可提议动作，但不能写入观察、分数和科学判断。（3）隔离执行、独立评估与确认。每次运行绑定源码与输入快照，在本地或沙箱中执行并如实报告信任等级；搜索阶段只用开发数据，确认数据只打开一次；独立评估器生成评分回执；描述性阈值状态与独立科学判断分别记录。（4）系统实现与验证。工作台与命令入口仅提交动作；工程测试检验非法状态转移、幂等、崩溃恢复与篡改检测；在冻结协议下开展数值计算、公开数据分析和机制比较，检验多源驱动下内核通用性，结论区分为支持、反驳和证据不足。</w:t>
            </w:r>
          </w:p>
          <w:p w14:paraId="1AFE6A9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研究思路为先输入后内核、先内核后界面：先明确三类异构数据如何登记并驱动研究流程，再确立对象状态与写入权限，最后叠加执行与界面；界面与模型不保存科研事实。研究方法包括文献调研、对比分析、模块化设计与原型实现；工程验证采用故障注入；科研验证在预先登记的冻结协议下比较竞争解释。若设置不受内核约束的智能体作对照，对照限于协议遵守和证据绑定。</w:t>
            </w:r>
          </w:p>
          <w:p w14:paraId="5FF3CC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cs="Times New Roman"/>
                <w:sz w:val="24"/>
                <w:szCs w:val="24"/>
              </w:rPr>
            </w:pPr>
          </w:p>
          <w:p w14:paraId="2156EA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cs="Times New Roman"/>
                <w:sz w:val="24"/>
                <w:szCs w:val="24"/>
              </w:rPr>
            </w:pPr>
          </w:p>
        </w:tc>
      </w:tr>
      <w:tr w14:paraId="6E2B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2" w:hRule="atLeast"/>
          <w:jc w:val="center"/>
        </w:trPr>
        <w:tc>
          <w:tcPr>
            <w:tcW w:w="1218" w:type="dxa"/>
            <w:vMerge w:val="continue"/>
          </w:tcPr>
          <w:p w14:paraId="0A9342E9"/>
        </w:tc>
        <w:tc>
          <w:tcPr>
            <w:tcW w:w="8240" w:type="dxa"/>
            <w:gridSpan w:val="6"/>
            <w:vAlign w:val="top"/>
          </w:tcPr>
          <w:p w14:paraId="03C4D945">
            <w:pPr>
              <w:rPr>
                <w:sz w:val="24"/>
              </w:rPr>
            </w:pPr>
            <w:r>
              <w:rPr>
                <w:rFonts w:hint="eastAsia"/>
                <w:sz w:val="24"/>
              </w:rPr>
              <w:t>进度安排：</w:t>
            </w:r>
          </w:p>
          <w:p w14:paraId="7B44640B">
            <w:pPr>
              <w:spacing w:before="0" w:after="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2026.09—2026.10（第2—8周）</w:t>
            </w:r>
            <w:r>
              <w:rPr>
                <w:rFonts w:hint="eastAsia" w:ascii="宋体" w:hAnsi="宋体" w:cs="宋体"/>
                <w:sz w:val="24"/>
                <w:szCs w:val="24"/>
                <w:lang w:eastAsia="zh-CN"/>
              </w:rPr>
              <w:t>：</w:t>
            </w:r>
            <w:r>
              <w:rPr>
                <w:rFonts w:hint="eastAsia" w:ascii="宋体" w:hAnsi="宋体" w:eastAsia="宋体" w:cs="宋体"/>
                <w:sz w:val="24"/>
                <w:szCs w:val="24"/>
              </w:rPr>
              <w:t>选题与开题：在指导教师指导下确定选题方向，梳理国内外研究现状，论证技术路线，撰写开题报告与论文提纲，第8周通过开题小组审核。</w:t>
            </w:r>
          </w:p>
          <w:p w14:paraId="05834AC7">
            <w:pPr>
              <w:spacing w:before="0" w:after="0" w:line="400" w:lineRule="exact"/>
              <w:ind w:firstLine="480" w:firstLineChars="200"/>
              <w:rPr>
                <w:rFonts w:hint="eastAsia" w:ascii="宋体" w:hAnsi="宋体" w:cs="宋体"/>
                <w:sz w:val="24"/>
                <w:szCs w:val="24"/>
                <w:lang w:eastAsia="zh-CN"/>
              </w:rPr>
            </w:pPr>
            <w:r>
              <w:rPr>
                <w:rFonts w:hint="eastAsia" w:ascii="宋体" w:hAnsi="宋体" w:eastAsia="宋体" w:cs="宋体"/>
                <w:sz w:val="24"/>
                <w:szCs w:val="24"/>
              </w:rPr>
              <w:t>2026.10—2026.11（第9—13周）</w:t>
            </w:r>
            <w:r>
              <w:rPr>
                <w:rFonts w:hint="eastAsia" w:ascii="宋体" w:hAnsi="宋体" w:cs="宋体"/>
                <w:sz w:val="24"/>
                <w:szCs w:val="24"/>
                <w:lang w:eastAsia="zh-CN"/>
              </w:rPr>
              <w:t>：完成科研对象、状态机、写入边界和证据绑定的接口设计，确定文献、代码修订与实验产物的登记方式。</w:t>
            </w:r>
          </w:p>
          <w:p w14:paraId="4A48343D">
            <w:pPr>
              <w:spacing w:before="0" w:after="0" w:line="400" w:lineRule="exact"/>
              <w:ind w:firstLine="480" w:firstLineChars="200"/>
              <w:rPr>
                <w:rFonts w:hint="eastAsia" w:ascii="宋体" w:hAnsi="宋体" w:cs="宋体"/>
                <w:sz w:val="24"/>
                <w:szCs w:val="24"/>
                <w:lang w:eastAsia="zh-CN"/>
              </w:rPr>
            </w:pPr>
            <w:r>
              <w:rPr>
                <w:rFonts w:hint="eastAsia" w:ascii="宋体" w:hAnsi="宋体" w:eastAsia="宋体" w:cs="宋体"/>
                <w:sz w:val="24"/>
                <w:szCs w:val="24"/>
              </w:rPr>
              <w:t>2026.11—2027.01（第14—19周）</w:t>
            </w:r>
            <w:r>
              <w:rPr>
                <w:rFonts w:hint="eastAsia" w:ascii="宋体" w:hAnsi="宋体" w:cs="宋体"/>
                <w:sz w:val="24"/>
                <w:szCs w:val="24"/>
                <w:lang w:eastAsia="zh-CN"/>
              </w:rPr>
              <w:t>：完成科研状态机、研究输入登记、独立评估与事件链，期末提交完整初稿。</w:t>
            </w:r>
          </w:p>
          <w:p w14:paraId="025FCC10">
            <w:pPr>
              <w:spacing w:before="0" w:after="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2027.03—2027.04（第1—5周）</w:t>
            </w:r>
            <w:r>
              <w:rPr>
                <w:rFonts w:hint="eastAsia" w:ascii="宋体" w:hAnsi="宋体" w:cs="宋体"/>
                <w:sz w:val="24"/>
                <w:szCs w:val="24"/>
                <w:lang w:eastAsia="zh-CN"/>
              </w:rPr>
              <w:t>：</w:t>
            </w:r>
            <w:r>
              <w:rPr>
                <w:rFonts w:hint="eastAsia" w:ascii="宋体" w:hAnsi="宋体" w:eastAsia="宋体" w:cs="宋体"/>
                <w:sz w:val="24"/>
                <w:szCs w:val="24"/>
              </w:rPr>
              <w:t>智能体与执行链路实现：完成智能体编排、隔离执行、独立评估与工作台前端集成，按中期检查意见修改并提交二稿。</w:t>
            </w:r>
          </w:p>
          <w:p w14:paraId="729C6E65">
            <w:pPr>
              <w:spacing w:before="0" w:after="0" w:line="400" w:lineRule="exact"/>
              <w:ind w:firstLine="480" w:firstLineChars="200"/>
              <w:rPr>
                <w:rFonts w:hint="eastAsia" w:ascii="宋体" w:hAnsi="宋体" w:cs="宋体"/>
                <w:sz w:val="24"/>
                <w:szCs w:val="24"/>
                <w:lang w:eastAsia="zh-CN"/>
              </w:rPr>
            </w:pPr>
            <w:r>
              <w:rPr>
                <w:rFonts w:hint="eastAsia" w:ascii="宋体" w:hAnsi="宋体" w:eastAsia="宋体" w:cs="宋体"/>
                <w:sz w:val="24"/>
                <w:szCs w:val="24"/>
              </w:rPr>
              <w:t>2027.04—2027.05（第6—12周）</w:t>
            </w:r>
            <w:r>
              <w:rPr>
                <w:rFonts w:hint="eastAsia" w:ascii="宋体" w:hAnsi="宋体" w:cs="宋体"/>
                <w:sz w:val="24"/>
                <w:szCs w:val="24"/>
                <w:lang w:eastAsia="zh-CN"/>
              </w:rPr>
              <w:t>：完成功能测试、故障注入测试，以及数值计算、公开数据分析和机制比较实验，整理实验数据并撰写答辩稿，完成查重与AIGC检测。</w:t>
            </w:r>
          </w:p>
          <w:p w14:paraId="7F4D5ACB">
            <w:pPr>
              <w:spacing w:before="0" w:after="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2027.05—2027.06（第13—15周）</w:t>
            </w:r>
            <w:r>
              <w:rPr>
                <w:rFonts w:hint="eastAsia" w:ascii="宋体" w:hAnsi="宋体" w:cs="宋体"/>
                <w:sz w:val="24"/>
                <w:szCs w:val="24"/>
                <w:lang w:eastAsia="zh-CN"/>
              </w:rPr>
              <w:t>：</w:t>
            </w:r>
            <w:r>
              <w:rPr>
                <w:rFonts w:hint="eastAsia" w:ascii="宋体" w:hAnsi="宋体" w:eastAsia="宋体" w:cs="宋体"/>
                <w:sz w:val="24"/>
                <w:szCs w:val="24"/>
              </w:rPr>
              <w:t>评阅与答辩：根据评阅意见修改论文，参加毕业答辩，并按答辩小组意见完成修改。</w:t>
            </w:r>
          </w:p>
          <w:p w14:paraId="013FED8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2027.06—2027.07（第16—19周）</w:t>
            </w:r>
            <w:r>
              <w:rPr>
                <w:rFonts w:hint="eastAsia" w:ascii="宋体" w:hAnsi="宋体" w:cs="宋体"/>
                <w:sz w:val="24"/>
                <w:szCs w:val="24"/>
                <w:lang w:eastAsia="zh-CN"/>
              </w:rPr>
              <w:t>：</w:t>
            </w:r>
            <w:r>
              <w:rPr>
                <w:rFonts w:hint="eastAsia" w:ascii="宋体" w:hAnsi="宋体" w:eastAsia="宋体" w:cs="宋体"/>
                <w:sz w:val="24"/>
                <w:szCs w:val="24"/>
              </w:rPr>
              <w:t>终稿提交与归档：完成论文终稿与资料袋整理归档，办理离校手续。</w:t>
            </w:r>
          </w:p>
          <w:p w14:paraId="4884A6A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hint="eastAsia" w:ascii="宋体" w:hAnsi="宋体" w:eastAsia="宋体" w:cs="宋体"/>
                <w:sz w:val="24"/>
                <w:szCs w:val="24"/>
              </w:rPr>
            </w:pPr>
          </w:p>
          <w:p w14:paraId="4979961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hint="eastAsia" w:ascii="宋体" w:hAnsi="宋体" w:eastAsia="宋体" w:cs="宋体"/>
                <w:sz w:val="24"/>
                <w:szCs w:val="24"/>
              </w:rPr>
            </w:pPr>
          </w:p>
        </w:tc>
      </w:tr>
      <w:tr w14:paraId="3A22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8" w:type="dxa"/>
            <w:vAlign w:val="top"/>
          </w:tcPr>
          <w:p w14:paraId="63BD6BC3"/>
        </w:tc>
        <w:tc>
          <w:tcPr>
            <w:tcW w:w="8240" w:type="dxa"/>
            <w:gridSpan w:val="6"/>
            <w:vAlign w:val="top"/>
          </w:tcPr>
          <w:p w14:paraId="444E18C4">
            <w:pPr>
              <w:keepNext w:val="0"/>
              <w:keepLines w:val="0"/>
              <w:pageBreakBefore w:val="0"/>
              <w:widowControl w:val="0"/>
              <w:numPr>
                <w:numId w:val="0"/>
              </w:numPr>
              <w:tabs>
                <w:tab w:val="left" w:pos="0"/>
              </w:tabs>
              <w:kinsoku/>
              <w:wordWrap/>
              <w:overflowPunct/>
              <w:topLinePunct w:val="0"/>
              <w:autoSpaceDE/>
              <w:autoSpaceDN/>
              <w:bidi w:val="0"/>
              <w:adjustRightInd/>
              <w:snapToGrid/>
              <w:spacing w:line="400" w:lineRule="exact"/>
              <w:ind w:left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文献资料目录：</w:t>
            </w:r>
          </w:p>
          <w:p w14:paraId="4D01F868">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Alansari, Aisha, and Hamzah Luqman. "Large Language Models Hallucination: A Comprehensive Survey." arXiv, 2025, https://arxiv.org/abs/2510.06265.</w:t>
            </w:r>
          </w:p>
          <w:p w14:paraId="0413CBA1">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Bajoria, Sparsh, et al. "From Language Models to Agentic AI: A Survey of Autonomous, Action-Enabled, and Collaborative LLM Agents." Cognitive Computation, vol. 18, no. 1, 2026, article 103. https://doi.org/10.1007/s12559-026-10619-1.</w:t>
            </w:r>
          </w:p>
          <w:p w14:paraId="4DA63753">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Boiko, Daniil A., et al. "Autonomous Chemical Research with Large Language Models." Nature, vol. 624, no. 7992, 2023, pp. 570-78. https://doi.org/10.1038/s41586-023-06792-0.</w:t>
            </w:r>
          </w:p>
          <w:p w14:paraId="5FF92B72">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Brown, Andrew, et al. "A Systematic Literature Review of Retrieval-Augmented Generation: Techniques, Metrics, and Challenges." arXiv, 2025, https://arxiv.org/abs/2508.06401.</w:t>
            </w:r>
          </w:p>
          <w:p w14:paraId="1E2802DF">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Chen, Ziru, et al. "ScienceAgentBench: Toward Rigorous Assessment of Language Agents for Data-Driven Scientific Discovery." Proceedings of the 13th International Conference on Learning Representations, 2025, pp. 12138-94. https://arxiv.org/abs/2410.05080.</w:t>
            </w:r>
          </w:p>
          <w:p w14:paraId="7514E427">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Gridach, Mourad, et al. "Agentic AI for Scientific Discovery: A Survey of Progress, Challenges, and Future Directions." arXiv, 2025, https://arxiv.org/abs/2503.08979.</w:t>
            </w:r>
          </w:p>
          <w:p w14:paraId="1997C042">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Lu, Chris, et al. "The AI Scientist: Towards Fully Automated Open-Ended Scientific Discovery." arXiv, 2024, https://arxiv.org/abs/2408.06292.</w:t>
            </w:r>
          </w:p>
          <w:p w14:paraId="075C79A8">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Luo, Ziming, et al. "LLM4SR: A Survey on Large Language Models for Scientific Research." arXiv, 2025, https://arxiv.org/abs/2501.04306.</w:t>
            </w:r>
          </w:p>
          <w:p w14:paraId="56515DD3">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Nosek, Brian A., et al. "The Preregistration Revolution." Proceedings of the National Academy of Sciences, vol. 115, no. 11, 2018, pp. 2600-06. https://doi.org/10.1073/pnas.1708274114.</w:t>
            </w:r>
          </w:p>
          <w:p w14:paraId="5B49D4DD">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Peng, Roger D. "Reproducible Research in Computational Science." Science, vol. 334, no. 6060, 2011, pp. 1226-27. https://doi.org/10.1126/science.1213847.</w:t>
            </w:r>
          </w:p>
          <w:p w14:paraId="1E54EA1D">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Souza, Renan, et al. "PROV-AGENT: Unified Provenance for Tracking AI Agent Interactions in Agentic Workflows." Proceedings of the 21st IEEE International Conference on e-Science, 2025. https://arxiv.org/abs/2508.02866.</w:t>
            </w:r>
          </w:p>
          <w:p w14:paraId="041474B7">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Xi, Zhiheng, et al. "The Rise and Potential of Large Language Model Based Agents: A Survey." Science China Information Sciences, vol. 68, no. 2, 2025, article 121101. https://doi.org/10.1007/s11432-024-4222-0.</w:t>
            </w:r>
          </w:p>
          <w:p w14:paraId="0F6E2405">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Zhang, Yue, et al. "Siren's Song in the AI Ocean: A Survey on Hallucination in Large Language Models." Computational Linguistics, vol. 51, no. 4, 2025, pp. 1373-418. https://doi.org/10.1162/coli.a.16.</w:t>
            </w:r>
          </w:p>
          <w:p w14:paraId="02510B69">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董益宏, 姜雪, 钱家如, 等. 基于大语言模型智能体的代码生成综述[J]. 软件学报, 2026, 37(8): 3089-3115. http://www.jos.org.cn/1000-9825/7593.htm.</w:t>
            </w:r>
          </w:p>
          <w:p w14:paraId="65D38AB9">
            <w:pPr>
              <w:keepNext w:val="0"/>
              <w:keepLines w:val="0"/>
              <w:pageBreakBefore w:val="0"/>
              <w:widowControl w:val="0"/>
              <w:numPr>
                <w:ilvl w:val="0"/>
                <w:numId w:val="1"/>
              </w:numPr>
              <w:tabs>
                <w:tab w:val="left" w:pos="0"/>
              </w:tabs>
              <w:kinsoku/>
              <w:wordWrap w:val="0"/>
              <w:overflowPunct/>
              <w:topLinePunct w:val="0"/>
              <w:autoSpaceDE/>
              <w:autoSpaceDN/>
              <w:bidi w:val="0"/>
              <w:adjustRightInd/>
              <w:snapToGrid/>
              <w:spacing w:line="400" w:lineRule="exact"/>
              <w:ind w:left="425" w:leftChars="0" w:hanging="425" w:firstLineChars="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李自拓, 孙建彬, 陈广州, 等. 大语言模型幻觉检测方法综述[J]. 计算机研究与发展, 2026, 63(1): 123-146. </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"https://doi.org/10.7544/issn1000-1239.202550069." </w:instrText>
            </w:r>
            <w:r>
              <w:rPr>
                <w:rFonts w:hint="eastAsia" w:ascii="Times New Roman" w:hAnsi="Times New Roman" w:eastAsia="宋体" w:cs="Times New Roman"/>
                <w:sz w:val="24"/>
                <w:szCs w:val="24"/>
              </w:rPr>
              <w:fldChar w:fldCharType="separate"/>
            </w:r>
            <w:r>
              <w:rPr>
                <w:rStyle w:val="14"/>
                <w:rFonts w:hint="eastAsia" w:ascii="Times New Roman" w:hAnsi="Times New Roman" w:eastAsia="宋体" w:cs="Times New Roman"/>
                <w:sz w:val="24"/>
                <w:szCs w:val="24"/>
              </w:rPr>
              <w:t>https://doi.org/10.7544/issn1000-1239.202550069.</w:t>
            </w:r>
            <w:r>
              <w:rPr>
                <w:rFonts w:hint="eastAsia" w:ascii="Times New Roman" w:hAnsi="Times New Roman" w:eastAsia="宋体" w:cs="Times New Roman"/>
                <w:sz w:val="24"/>
                <w:szCs w:val="24"/>
              </w:rPr>
              <w:fldChar w:fldCharType="end"/>
            </w:r>
          </w:p>
          <w:p w14:paraId="053F3DAE">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791EA836">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5A68C06B">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16ED0B75">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35140C8E">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4C7002D8">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59AEA1EC">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31B934F6">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6F3B0326">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76E84D52">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01181AE4">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40DB58CA">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1337AF23">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4C1D093B">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4CC15CC8">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72E189F9">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1D2504C1">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63F94074">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7B6BADA6">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1199845A">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4792330D">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0161F3D9">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p w14:paraId="3725C5A2">
            <w:pPr>
              <w:keepNext w:val="0"/>
              <w:keepLines w:val="0"/>
              <w:pageBreakBefore w:val="0"/>
              <w:widowControl w:val="0"/>
              <w:numPr>
                <w:numId w:val="0"/>
              </w:numPr>
              <w:tabs>
                <w:tab w:val="left" w:pos="0"/>
              </w:tabs>
              <w:kinsoku/>
              <w:wordWrap w:val="0"/>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tc>
      </w:tr>
      <w:tr w14:paraId="1DC68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9" w:hRule="atLeast"/>
          <w:jc w:val="center"/>
        </w:trPr>
        <w:tc>
          <w:tcPr>
            <w:tcW w:w="1218" w:type="dxa"/>
            <w:vAlign w:val="center"/>
          </w:tcPr>
          <w:p w14:paraId="459E99EA">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指导教师意见</w:t>
            </w:r>
          </w:p>
        </w:tc>
        <w:tc>
          <w:tcPr>
            <w:tcW w:w="8240" w:type="dxa"/>
            <w:gridSpan w:val="6"/>
          </w:tcPr>
          <w:p w14:paraId="4D03854C">
            <w:pPr>
              <w:rPr>
                <w:rFonts w:ascii="Times New Roman" w:hAnsi="Times New Roman" w:eastAsia="宋体" w:cs="Times New Roman"/>
                <w:sz w:val="24"/>
                <w:szCs w:val="24"/>
              </w:rPr>
            </w:pPr>
          </w:p>
          <w:p w14:paraId="2C363525">
            <w:pPr>
              <w:rPr>
                <w:rFonts w:ascii="Times New Roman" w:hAnsi="Times New Roman" w:eastAsia="宋体" w:cs="Times New Roman"/>
                <w:sz w:val="24"/>
                <w:szCs w:val="24"/>
              </w:rPr>
            </w:pPr>
          </w:p>
          <w:p w14:paraId="67201BCD">
            <w:pPr>
              <w:rPr>
                <w:rFonts w:ascii="Times New Roman" w:hAnsi="Times New Roman" w:eastAsia="宋体" w:cs="Times New Roman"/>
                <w:sz w:val="24"/>
                <w:szCs w:val="24"/>
              </w:rPr>
            </w:pPr>
          </w:p>
          <w:p w14:paraId="03A04E17">
            <w:pPr>
              <w:rPr>
                <w:rFonts w:ascii="Times New Roman" w:hAnsi="Times New Roman" w:eastAsia="宋体" w:cs="Times New Roman"/>
                <w:sz w:val="24"/>
                <w:szCs w:val="24"/>
              </w:rPr>
            </w:pPr>
          </w:p>
          <w:p w14:paraId="52935A0B">
            <w:pPr>
              <w:rPr>
                <w:rFonts w:ascii="Times New Roman" w:hAnsi="Times New Roman" w:eastAsia="宋体" w:cs="Times New Roman"/>
                <w:sz w:val="24"/>
                <w:szCs w:val="24"/>
              </w:rPr>
            </w:pPr>
          </w:p>
          <w:p w14:paraId="0D52E404">
            <w:pPr>
              <w:rPr>
                <w:rFonts w:ascii="Times New Roman" w:hAnsi="Times New Roman" w:eastAsia="宋体" w:cs="Times New Roman"/>
                <w:sz w:val="24"/>
                <w:szCs w:val="24"/>
              </w:rPr>
            </w:pPr>
          </w:p>
          <w:p w14:paraId="453924CC">
            <w:pPr>
              <w:rPr>
                <w:rFonts w:ascii="Times New Roman" w:hAnsi="Times New Roman" w:eastAsia="宋体" w:cs="Times New Roman"/>
                <w:sz w:val="24"/>
                <w:szCs w:val="24"/>
              </w:rPr>
            </w:pPr>
          </w:p>
          <w:p w14:paraId="611F785F">
            <w:pPr>
              <w:rPr>
                <w:rFonts w:ascii="Times New Roman" w:hAnsi="Times New Roman" w:eastAsia="宋体" w:cs="Times New Roman"/>
                <w:sz w:val="24"/>
                <w:szCs w:val="24"/>
              </w:rPr>
            </w:pPr>
          </w:p>
          <w:p w14:paraId="3E75DF25">
            <w:pPr>
              <w:rPr>
                <w:rFonts w:ascii="Times New Roman" w:hAnsi="Times New Roman" w:eastAsia="宋体" w:cs="Times New Roman"/>
                <w:sz w:val="24"/>
                <w:szCs w:val="24"/>
              </w:rPr>
            </w:pPr>
          </w:p>
          <w:p w14:paraId="5CDE5E3E">
            <w:pPr>
              <w:rPr>
                <w:rFonts w:ascii="Times New Roman" w:hAnsi="Times New Roman" w:eastAsia="宋体" w:cs="Times New Roman"/>
                <w:sz w:val="24"/>
                <w:szCs w:val="24"/>
              </w:rPr>
            </w:pPr>
          </w:p>
          <w:p w14:paraId="2494F268">
            <w:pPr>
              <w:rPr>
                <w:rFonts w:ascii="Times New Roman" w:hAnsi="Times New Roman" w:eastAsia="宋体" w:cs="Times New Roman"/>
                <w:sz w:val="24"/>
                <w:szCs w:val="24"/>
              </w:rPr>
            </w:pPr>
          </w:p>
          <w:p w14:paraId="7A8F29A0">
            <w:pPr>
              <w:rPr>
                <w:rFonts w:ascii="Times New Roman" w:hAnsi="Times New Roman" w:eastAsia="宋体" w:cs="Times New Roman"/>
                <w:sz w:val="24"/>
                <w:szCs w:val="24"/>
              </w:rPr>
            </w:pPr>
          </w:p>
          <w:p w14:paraId="19BA1465">
            <w:pPr>
              <w:rPr>
                <w:rFonts w:ascii="Times New Roman" w:hAnsi="Times New Roman" w:eastAsia="宋体" w:cs="Times New Roman"/>
                <w:sz w:val="24"/>
                <w:szCs w:val="24"/>
              </w:rPr>
            </w:pPr>
          </w:p>
          <w:p w14:paraId="29302765">
            <w:pPr>
              <w:rPr>
                <w:rFonts w:ascii="Times New Roman" w:hAnsi="Times New Roman" w:eastAsia="宋体" w:cs="Times New Roman"/>
                <w:sz w:val="24"/>
                <w:szCs w:val="24"/>
              </w:rPr>
            </w:pPr>
          </w:p>
          <w:p w14:paraId="5536AB45">
            <w:pPr>
              <w:rPr>
                <w:rFonts w:ascii="Times New Roman" w:hAnsi="Times New Roman" w:eastAsia="宋体" w:cs="Times New Roman"/>
                <w:sz w:val="24"/>
                <w:szCs w:val="24"/>
              </w:rPr>
            </w:pPr>
          </w:p>
          <w:p w14:paraId="0BBAFCA0">
            <w:pPr>
              <w:rPr>
                <w:rFonts w:ascii="Times New Roman" w:hAnsi="Times New Roman" w:eastAsia="宋体" w:cs="Times New Roman"/>
                <w:sz w:val="24"/>
                <w:szCs w:val="24"/>
              </w:rPr>
            </w:pPr>
          </w:p>
          <w:p w14:paraId="659ECCA9">
            <w:pPr>
              <w:spacing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指导教师：</w:t>
            </w:r>
            <w:r>
              <w:rPr>
                <w:rFonts w:ascii="Times New Roman" w:hAnsi="Times New Roman" w:eastAsia="宋体" w:cs="Times New Roman"/>
                <w:sz w:val="24"/>
                <w:szCs w:val="24"/>
              </w:rPr>
              <w:t xml:space="preserve"> </w:t>
            </w:r>
          </w:p>
          <w:p w14:paraId="7025BA55">
            <w:pPr>
              <w:spacing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年   月   日</w:t>
            </w:r>
          </w:p>
          <w:p w14:paraId="57C48B44">
            <w:pPr>
              <w:rPr>
                <w:rFonts w:ascii="Times New Roman" w:hAnsi="Times New Roman" w:eastAsia="宋体" w:cs="Times New Roman"/>
                <w:sz w:val="24"/>
                <w:szCs w:val="24"/>
              </w:rPr>
            </w:pPr>
          </w:p>
        </w:tc>
      </w:tr>
      <w:tr w14:paraId="492D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7" w:hRule="atLeast"/>
          <w:jc w:val="center"/>
        </w:trPr>
        <w:tc>
          <w:tcPr>
            <w:tcW w:w="1218" w:type="dxa"/>
            <w:vAlign w:val="center"/>
          </w:tcPr>
          <w:p w14:paraId="5EFC0BFD">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开题报告小组意见</w:t>
            </w:r>
          </w:p>
        </w:tc>
        <w:tc>
          <w:tcPr>
            <w:tcW w:w="8240" w:type="dxa"/>
            <w:gridSpan w:val="6"/>
          </w:tcPr>
          <w:p w14:paraId="398947DD">
            <w:pPr>
              <w:rPr>
                <w:rFonts w:ascii="Times New Roman" w:hAnsi="Times New Roman" w:eastAsia="宋体" w:cs="Times New Roman"/>
                <w:sz w:val="24"/>
                <w:szCs w:val="24"/>
              </w:rPr>
            </w:pPr>
          </w:p>
          <w:p w14:paraId="3D15805F">
            <w:pPr>
              <w:rPr>
                <w:rFonts w:ascii="Times New Roman" w:hAnsi="Times New Roman" w:eastAsia="宋体" w:cs="Times New Roman"/>
                <w:sz w:val="24"/>
                <w:szCs w:val="24"/>
              </w:rPr>
            </w:pPr>
          </w:p>
          <w:p w14:paraId="1DA77228">
            <w:pPr>
              <w:rPr>
                <w:rFonts w:ascii="Times New Roman" w:hAnsi="Times New Roman" w:eastAsia="宋体" w:cs="Times New Roman"/>
                <w:sz w:val="24"/>
                <w:szCs w:val="24"/>
              </w:rPr>
            </w:pPr>
          </w:p>
          <w:p w14:paraId="17CF6DA8">
            <w:pPr>
              <w:rPr>
                <w:rFonts w:ascii="Times New Roman" w:hAnsi="Times New Roman" w:eastAsia="宋体" w:cs="Times New Roman"/>
                <w:sz w:val="24"/>
                <w:szCs w:val="24"/>
              </w:rPr>
            </w:pPr>
          </w:p>
          <w:p w14:paraId="690F92B9">
            <w:pPr>
              <w:rPr>
                <w:rFonts w:ascii="Times New Roman" w:hAnsi="Times New Roman" w:eastAsia="宋体" w:cs="Times New Roman"/>
                <w:sz w:val="24"/>
                <w:szCs w:val="24"/>
              </w:rPr>
            </w:pPr>
          </w:p>
          <w:p w14:paraId="20B1759F">
            <w:pPr>
              <w:rPr>
                <w:rFonts w:ascii="Times New Roman" w:hAnsi="Times New Roman" w:eastAsia="宋体" w:cs="Times New Roman"/>
                <w:sz w:val="24"/>
                <w:szCs w:val="24"/>
              </w:rPr>
            </w:pPr>
          </w:p>
          <w:p w14:paraId="7BE40B93">
            <w:pPr>
              <w:rPr>
                <w:rFonts w:ascii="Times New Roman" w:hAnsi="Times New Roman" w:eastAsia="宋体" w:cs="Times New Roman"/>
                <w:sz w:val="24"/>
                <w:szCs w:val="24"/>
              </w:rPr>
            </w:pPr>
          </w:p>
          <w:p w14:paraId="4DC0FBFF">
            <w:pPr>
              <w:rPr>
                <w:rFonts w:ascii="Times New Roman" w:hAnsi="Times New Roman" w:eastAsia="宋体" w:cs="Times New Roman"/>
                <w:sz w:val="24"/>
                <w:szCs w:val="24"/>
              </w:rPr>
            </w:pPr>
          </w:p>
          <w:p w14:paraId="4FED1CEB">
            <w:pPr>
              <w:rPr>
                <w:rFonts w:ascii="Times New Roman" w:hAnsi="Times New Roman" w:eastAsia="宋体" w:cs="Times New Roman"/>
                <w:sz w:val="24"/>
                <w:szCs w:val="24"/>
              </w:rPr>
            </w:pPr>
          </w:p>
          <w:p w14:paraId="406A821C">
            <w:pPr>
              <w:rPr>
                <w:rFonts w:ascii="Times New Roman" w:hAnsi="Times New Roman" w:eastAsia="宋体" w:cs="Times New Roman"/>
                <w:sz w:val="24"/>
                <w:szCs w:val="24"/>
              </w:rPr>
            </w:pPr>
          </w:p>
          <w:p w14:paraId="6E8DEA15">
            <w:pPr>
              <w:rPr>
                <w:rFonts w:ascii="Times New Roman" w:hAnsi="Times New Roman" w:eastAsia="宋体" w:cs="Times New Roman"/>
                <w:sz w:val="24"/>
                <w:szCs w:val="24"/>
              </w:rPr>
            </w:pPr>
          </w:p>
          <w:p w14:paraId="5A77F090">
            <w:pPr>
              <w:rPr>
                <w:rFonts w:ascii="Times New Roman" w:hAnsi="Times New Roman" w:eastAsia="宋体" w:cs="Times New Roman"/>
                <w:sz w:val="24"/>
                <w:szCs w:val="24"/>
              </w:rPr>
            </w:pPr>
          </w:p>
          <w:p w14:paraId="2F700620">
            <w:pPr>
              <w:rPr>
                <w:rFonts w:ascii="Times New Roman" w:hAnsi="Times New Roman" w:eastAsia="宋体" w:cs="Times New Roman"/>
                <w:sz w:val="24"/>
                <w:szCs w:val="24"/>
              </w:rPr>
            </w:pPr>
          </w:p>
          <w:p w14:paraId="6B737EBC">
            <w:pPr>
              <w:rPr>
                <w:rFonts w:ascii="Times New Roman" w:hAnsi="Times New Roman" w:eastAsia="宋体" w:cs="Times New Roman"/>
                <w:sz w:val="24"/>
                <w:szCs w:val="24"/>
              </w:rPr>
            </w:pPr>
          </w:p>
          <w:p w14:paraId="392858AD">
            <w:pPr>
              <w:rPr>
                <w:rFonts w:ascii="Times New Roman" w:hAnsi="Times New Roman" w:eastAsia="宋体" w:cs="Times New Roman"/>
                <w:sz w:val="24"/>
                <w:szCs w:val="24"/>
              </w:rPr>
            </w:pPr>
          </w:p>
          <w:p w14:paraId="1211907B">
            <w:pPr>
              <w:rPr>
                <w:rFonts w:ascii="Times New Roman" w:hAnsi="Times New Roman" w:eastAsia="宋体" w:cs="Times New Roman"/>
                <w:sz w:val="24"/>
                <w:szCs w:val="24"/>
              </w:rPr>
            </w:pPr>
          </w:p>
          <w:p w14:paraId="1D989DD9">
            <w:pPr>
              <w:rPr>
                <w:rFonts w:ascii="Times New Roman" w:hAnsi="Times New Roman" w:eastAsia="宋体" w:cs="Times New Roman"/>
                <w:sz w:val="24"/>
                <w:szCs w:val="24"/>
              </w:rPr>
            </w:pPr>
          </w:p>
          <w:p w14:paraId="3FAA6293">
            <w:pPr>
              <w:rPr>
                <w:rFonts w:ascii="Times New Roman" w:hAnsi="Times New Roman" w:eastAsia="宋体" w:cs="Times New Roman"/>
                <w:sz w:val="24"/>
                <w:szCs w:val="24"/>
              </w:rPr>
            </w:pPr>
          </w:p>
          <w:p w14:paraId="0B0451C4">
            <w:pPr>
              <w:rPr>
                <w:rFonts w:ascii="Times New Roman" w:hAnsi="Times New Roman" w:eastAsia="宋体" w:cs="Times New Roman"/>
                <w:sz w:val="24"/>
                <w:szCs w:val="24"/>
              </w:rPr>
            </w:pPr>
          </w:p>
          <w:p w14:paraId="711D44C8">
            <w:pPr>
              <w:rPr>
                <w:rFonts w:ascii="Times New Roman" w:hAnsi="Times New Roman" w:eastAsia="宋体" w:cs="Times New Roman"/>
                <w:sz w:val="24"/>
                <w:szCs w:val="24"/>
              </w:rPr>
            </w:pPr>
          </w:p>
          <w:p w14:paraId="0FFB32A3">
            <w:pPr>
              <w:rPr>
                <w:rFonts w:ascii="Times New Roman" w:hAnsi="Times New Roman" w:eastAsia="宋体" w:cs="Times New Roman"/>
                <w:sz w:val="24"/>
                <w:szCs w:val="24"/>
              </w:rPr>
            </w:pPr>
          </w:p>
          <w:p w14:paraId="6F20E40C">
            <w:pPr>
              <w:ind w:firstLine="4080" w:firstLineChars="1700"/>
              <w:rPr>
                <w:rFonts w:ascii="Times New Roman" w:hAnsi="Times New Roman" w:eastAsia="宋体" w:cs="Times New Roman"/>
                <w:sz w:val="24"/>
                <w:szCs w:val="24"/>
              </w:rPr>
            </w:pPr>
            <w:r>
              <w:rPr>
                <w:rFonts w:hint="eastAsia" w:ascii="Times New Roman" w:hAnsi="Times New Roman" w:eastAsia="宋体" w:cs="Times New Roman"/>
                <w:sz w:val="24"/>
                <w:szCs w:val="24"/>
              </w:rPr>
              <w:t>组长：</w:t>
            </w:r>
            <w:r>
              <w:rPr>
                <w:rFonts w:ascii="Times New Roman" w:hAnsi="Times New Roman" w:eastAsia="宋体" w:cs="Times New Roman"/>
                <w:sz w:val="24"/>
                <w:szCs w:val="24"/>
              </w:rPr>
              <w:t xml:space="preserve"> </w:t>
            </w:r>
          </w:p>
          <w:p w14:paraId="2CE4844A">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年   月   日</w:t>
            </w:r>
          </w:p>
        </w:tc>
      </w:tr>
    </w:tbl>
    <w:p w14:paraId="522B9A58">
      <w:pPr>
        <w:spacing w:line="360" w:lineRule="auto"/>
        <w:jc w:val="center"/>
        <w:rPr>
          <w:rFonts w:ascii="Times New Roman" w:hAnsi="Times New Roman" w:eastAsia="宋体" w:cs="Times New Roman"/>
          <w:szCs w:val="24"/>
        </w:rPr>
      </w:pPr>
      <w:r>
        <w:rPr>
          <w:rFonts w:hint="eastAsia" w:ascii="黑体" w:eastAsia="黑体" w:cs="Times New Roman"/>
          <w:b/>
          <w:bCs/>
          <w:sz w:val="32"/>
          <w:szCs w:val="32"/>
        </w:rPr>
        <w:t>本科毕业论文开题报告表</w:t>
      </w:r>
      <w:r>
        <w:rPr>
          <w:rFonts w:hint="eastAsia" w:ascii="黑体" w:eastAsia="黑体" w:cs="Times New Roman"/>
          <w:b/>
          <w:bCs/>
          <w:szCs w:val="32"/>
        </w:rPr>
        <w:t>之</w:t>
      </w:r>
      <w:r>
        <w:rPr>
          <w:rFonts w:hint="eastAsia" w:ascii="黑体" w:eastAsia="黑体" w:cs="Times New Roman"/>
          <w:b/>
          <w:szCs w:val="24"/>
        </w:rPr>
        <w:t>大纲</w:t>
      </w:r>
      <w:r>
        <w:rPr>
          <w:rFonts w:hint="eastAsia" w:ascii="Times New Roman" w:hAnsi="Times New Roman" w:eastAsia="宋体" w:cs="Times New Roman"/>
          <w:szCs w:val="24"/>
        </w:rPr>
        <w:t>（中文）</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F4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2" w:hRule="atLeast"/>
        </w:trPr>
        <w:tc>
          <w:tcPr>
            <w:tcW w:w="9288" w:type="dxa"/>
            <w:tcBorders>
              <w:bottom w:val="single" w:color="auto" w:sz="4" w:space="0"/>
            </w:tcBorders>
          </w:tcPr>
          <w:p w14:paraId="61D0821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cs="宋体"/>
                <w:b/>
                <w:bCs/>
                <w:sz w:val="28"/>
                <w:szCs w:val="28"/>
              </w:rPr>
            </w:pPr>
          </w:p>
          <w:p w14:paraId="25DBF44A">
            <w:pPr>
              <w:keepNext w:val="0"/>
              <w:keepLines w:val="0"/>
              <w:pageBreakBefore w:val="0"/>
              <w:widowControl w:val="0"/>
              <w:kinsoku/>
              <w:wordWrap/>
              <w:overflowPunct/>
              <w:topLinePunct w:val="0"/>
              <w:autoSpaceDE/>
              <w:autoSpaceDN/>
              <w:bidi w:val="0"/>
              <w:adjustRightInd/>
              <w:snapToGrid/>
              <w:spacing w:before="0" w:after="0" w:line="400" w:lineRule="exact"/>
              <w:jc w:val="center"/>
              <w:textAlignment w:val="auto"/>
              <w:rPr>
                <w:rFonts w:hint="eastAsia" w:ascii="宋体" w:hAnsi="宋体" w:eastAsia="宋体" w:cs="宋体"/>
                <w:b/>
                <w:bCs/>
                <w:sz w:val="28"/>
                <w:szCs w:val="28"/>
                <w:lang w:eastAsia="zh-CN"/>
              </w:rPr>
            </w:pPr>
            <w:r>
              <w:rPr>
                <w:rFonts w:hint="eastAsia" w:ascii="Times New Roman" w:hAnsi="Times New Roman"/>
                <w:b/>
                <w:bCs/>
                <w:sz w:val="28"/>
                <w:szCs w:val="28"/>
                <w:lang w:val="en-US" w:eastAsia="zh-CN"/>
              </w:rPr>
              <w:t>目 录</w:t>
            </w:r>
          </w:p>
          <w:p w14:paraId="545AB14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 xml:space="preserve">第1章 </w:t>
            </w:r>
            <w:r>
              <w:rPr>
                <w:rFonts w:hint="eastAsia" w:ascii="宋体" w:hAnsi="宋体" w:cs="宋体"/>
                <w:sz w:val="24"/>
                <w:szCs w:val="24"/>
              </w:rPr>
              <w:fldChar w:fldCharType="end"/>
            </w:r>
            <w:r>
              <w:rPr>
                <w:rFonts w:ascii="Times New Roman" w:hAnsi="Times New Roman" w:eastAsia="宋体"/>
                <w:sz w:val="24"/>
              </w:rPr>
              <w:t>绪论</w:t>
            </w:r>
          </w:p>
          <w:p w14:paraId="2C20DFF5">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rPr>
              <w:t>1.1</w:t>
            </w:r>
            <w:r>
              <w:rPr>
                <w:rFonts w:ascii="Times New Roman" w:hAnsi="Times New Roman" w:eastAsia="宋体"/>
                <w:sz w:val="24"/>
              </w:rPr>
              <w:t xml:space="preserve"> 研究背景与意义</w:t>
            </w:r>
          </w:p>
          <w:p w14:paraId="6B00EA8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自主科研智能体的发展现状</w:t>
            </w:r>
          </w:p>
          <w:p w14:paraId="38A6C3D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科研结论可信性面临的挑战</w:t>
            </w:r>
          </w:p>
          <w:p w14:paraId="4BD0E28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本课题的研究意义</w:t>
            </w:r>
          </w:p>
          <w:p w14:paraId="0D71F799">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rPr>
              <w:t>1.</w:t>
            </w:r>
            <w:r>
              <w:rPr>
                <w:rFonts w:hint="eastAsia" w:ascii="宋体" w:hAnsi="宋体" w:cs="宋体"/>
                <w:sz w:val="24"/>
                <w:szCs w:val="24"/>
                <w:lang w:val="en-US" w:eastAsia="zh-CN"/>
              </w:rPr>
              <w:t>2</w:t>
            </w:r>
            <w:r>
              <w:rPr>
                <w:rFonts w:ascii="Times New Roman" w:hAnsi="Times New Roman" w:eastAsia="宋体"/>
                <w:sz w:val="24"/>
              </w:rPr>
              <w:t xml:space="preserve"> 国内外研究现状</w:t>
            </w:r>
          </w:p>
          <w:p w14:paraId="2FF359B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自主科研系统研究现状</w:t>
            </w:r>
          </w:p>
          <w:p w14:paraId="5CA2A0C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检索增强生成与幻觉抑制研究现状</w:t>
            </w:r>
          </w:p>
          <w:p w14:paraId="061ACE4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数据溯源与证据链研究现状</w:t>
            </w:r>
          </w:p>
          <w:p w14:paraId="4AE6070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4</w:t>
            </w:r>
            <w:r>
              <w:rPr>
                <w:rFonts w:ascii="Times New Roman" w:hAnsi="Times New Roman" w:eastAsia="宋体"/>
                <w:sz w:val="24"/>
              </w:rPr>
              <w:t xml:space="preserve"> 现有研究的不足</w:t>
            </w:r>
          </w:p>
          <w:p w14:paraId="4725EC36">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rPr>
              <w:t>1.</w:t>
            </w:r>
            <w:r>
              <w:rPr>
                <w:rFonts w:hint="eastAsia" w:ascii="宋体" w:hAnsi="宋体" w:cs="宋体"/>
                <w:sz w:val="24"/>
                <w:szCs w:val="24"/>
                <w:lang w:val="en-US" w:eastAsia="zh-CN"/>
              </w:rPr>
              <w:t>3</w:t>
            </w:r>
            <w:r>
              <w:rPr>
                <w:rFonts w:ascii="Times New Roman" w:hAnsi="Times New Roman" w:eastAsia="宋体"/>
                <w:sz w:val="24"/>
              </w:rPr>
              <w:t xml:space="preserve"> 研究内容与论文组织结构</w:t>
            </w:r>
          </w:p>
          <w:p w14:paraId="55C366F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主要研究内容</w:t>
            </w:r>
          </w:p>
          <w:p w14:paraId="761F319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rPr>
              <w:t>1.</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论文组织结构</w:t>
            </w:r>
          </w:p>
          <w:p w14:paraId="3C9018B6">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2</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相关理论与技术基础</w:t>
            </w:r>
          </w:p>
          <w:p w14:paraId="6270F93F">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大语言模型与模型中立接入</w:t>
            </w:r>
          </w:p>
          <w:p w14:paraId="3847E8C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大语言模型基本原理</w:t>
            </w:r>
          </w:p>
          <w:p w14:paraId="32B0232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Harness 抽象与模型中立接入</w:t>
            </w:r>
          </w:p>
          <w:p w14:paraId="709CE06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结构化工具调用与权限审批</w:t>
            </w:r>
          </w:p>
          <w:p w14:paraId="783327DA">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rPr>
                <w:rFonts w:ascii="Times New Roman" w:hAnsi="Times New Roman" w:eastAsia="宋体"/>
                <w:sz w:val="24"/>
              </w:rPr>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科研过程约束与独立评估</w:t>
            </w:r>
          </w:p>
          <w:p w14:paraId="5DFCD32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w:t>
            </w:r>
            <w:r>
              <w:rPr>
                <w:rFonts w:ascii="宋体" w:hAnsi="宋体" w:eastAsia="宋体" w:cs="宋体"/>
                <w:sz w:val="24"/>
                <w:szCs w:val="24"/>
              </w:rPr>
              <w:t>类型化科研对象与状态转换</w:t>
            </w:r>
          </w:p>
          <w:p w14:paraId="03F1033C">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预先登记、设计冻结与一次性确认</w:t>
            </w:r>
          </w:p>
          <w:p w14:paraId="4E7B3BF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独立计分及描述性结果与科学判断的区分</w:t>
            </w:r>
          </w:p>
          <w:p w14:paraId="6F4EA338">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数据溯源与可验证计算基础</w:t>
            </w:r>
          </w:p>
          <w:p w14:paraId="65FE32A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数据溯源模型与标准</w:t>
            </w:r>
          </w:p>
          <w:p w14:paraId="5971832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内容寻址与事件哈希链</w:t>
            </w:r>
          </w:p>
          <w:p w14:paraId="2B4C544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宋体" w:hAnsi="宋体" w:eastAsia="宋体" w:cs="宋体"/>
                <w:sz w:val="24"/>
                <w:szCs w:val="24"/>
              </w:rPr>
              <w:t>事务、幂等与崩溃后对账</w:t>
            </w:r>
          </w:p>
          <w:p w14:paraId="30D6EA2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3</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系统需求分析与总体设计</w:t>
            </w:r>
          </w:p>
          <w:p w14:paraId="4BED2278">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需求分析</w:t>
            </w:r>
          </w:p>
          <w:p w14:paraId="39F3546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用户角色与使用场景</w:t>
            </w:r>
          </w:p>
          <w:p w14:paraId="1836066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功能需求</w:t>
            </w:r>
          </w:p>
          <w:p w14:paraId="7F62A77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非功能需求</w:t>
            </w:r>
          </w:p>
          <w:p w14:paraId="5CFA045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总体架构与分层设计</w:t>
            </w:r>
          </w:p>
          <w:p w14:paraId="0D25D88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控制平面、执行平面与证据平面分离</w:t>
            </w:r>
          </w:p>
          <w:p w14:paraId="52F3133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分层架构与核心模块划分</w:t>
            </w:r>
          </w:p>
          <w:p w14:paraId="090F417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模块间的数据流与接口</w:t>
            </w:r>
          </w:p>
          <w:p w14:paraId="7D83C74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核心数据模型与数据所有权</w:t>
            </w:r>
          </w:p>
          <w:p w14:paraId="68EE7029">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w:t>
            </w:r>
            <w:r>
              <w:rPr>
                <w:rFonts w:ascii="宋体" w:hAnsi="宋体" w:eastAsia="宋体" w:cs="宋体"/>
                <w:sz w:val="24"/>
                <w:szCs w:val="24"/>
              </w:rPr>
              <w:t>科研对象标识与跨对象引用</w:t>
            </w:r>
          </w:p>
          <w:p w14:paraId="2D0FB7A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核心实体与状态版本规范</w:t>
            </w:r>
          </w:p>
          <w:p w14:paraId="1E74EF41">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数据所有权与写入权限边界</w:t>
            </w:r>
          </w:p>
          <w:p w14:paraId="0D784EF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4</w:t>
            </w:r>
            <w:r>
              <w:rPr>
                <w:rFonts w:ascii="Times New Roman" w:hAnsi="Times New Roman" w:eastAsia="宋体"/>
                <w:sz w:val="24"/>
              </w:rPr>
              <w:t xml:space="preserve"> </w:t>
            </w:r>
            <w:r>
              <w:rPr>
                <w:rFonts w:ascii="宋体" w:hAnsi="宋体" w:eastAsia="宋体" w:cs="宋体"/>
                <w:sz w:val="24"/>
                <w:szCs w:val="24"/>
              </w:rPr>
              <w:t>域包扩展与领域通用性设计</w:t>
            </w:r>
          </w:p>
          <w:p w14:paraId="0CA5DFE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4</w:t>
            </w:r>
            <w:r>
              <w:rPr>
                <w:rFonts w:hint="eastAsia" w:ascii="宋体" w:hAnsi="宋体" w:cs="宋体"/>
                <w:sz w:val="24"/>
                <w:szCs w:val="24"/>
              </w:rPr>
              <w:t>.1</w:t>
            </w:r>
            <w:r>
              <w:rPr>
                <w:rFonts w:ascii="Times New Roman" w:hAnsi="Times New Roman" w:eastAsia="宋体"/>
                <w:sz w:val="24"/>
              </w:rPr>
              <w:t xml:space="preserve"> 稳定插件接口的划分</w:t>
            </w:r>
          </w:p>
          <w:p w14:paraId="074B5970">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域包的显式加载与能力声明</w:t>
            </w:r>
          </w:p>
          <w:p w14:paraId="04E520B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领域适配与可替换性</w:t>
            </w:r>
          </w:p>
          <w:p w14:paraId="0D7AB9D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4</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多源异构数据的统一接入与证据化</w:t>
            </w:r>
          </w:p>
          <w:p w14:paraId="31F30C1B">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w:t>
            </w:r>
            <w:r>
              <w:rPr>
                <w:rFonts w:ascii="宋体" w:hAnsi="宋体" w:eastAsia="宋体" w:cs="宋体"/>
                <w:sz w:val="24"/>
                <w:szCs w:val="24"/>
              </w:rPr>
              <w:t>三类异构驱动输入的登记</w:t>
            </w:r>
          </w:p>
          <w:p w14:paraId="4F1792F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w:t>
            </w:r>
            <w:r>
              <w:rPr>
                <w:rFonts w:ascii="宋体" w:hAnsi="宋体" w:eastAsia="宋体" w:cs="宋体"/>
                <w:sz w:val="24"/>
                <w:szCs w:val="24"/>
              </w:rPr>
              <w:t>文献检索范围、来源与全文可达性</w:t>
            </w:r>
          </w:p>
          <w:p w14:paraId="12D3ADE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代码修订与内容摘要</w:t>
            </w:r>
          </w:p>
          <w:p w14:paraId="67A35AC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实验产物与研究事件</w:t>
            </w:r>
          </w:p>
          <w:p w14:paraId="0033C7F3">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分源登记规范与未验证状态</w:t>
            </w:r>
          </w:p>
          <w:p w14:paraId="0F45232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w:t>
            </w:r>
            <w:r>
              <w:rPr>
                <w:rFonts w:ascii="宋体" w:hAnsi="宋体" w:eastAsia="宋体" w:cs="宋体"/>
                <w:sz w:val="24"/>
                <w:szCs w:val="24"/>
              </w:rPr>
              <w:t>分源标识与内容摘要</w:t>
            </w:r>
          </w:p>
          <w:p w14:paraId="41C9BFD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输入角色与绑定关系</w:t>
            </w:r>
          </w:p>
          <w:p w14:paraId="5C6FBE5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全文可达性与未验证状态</w:t>
            </w:r>
          </w:p>
          <w:p w14:paraId="2AFB084D">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证据化与来源可信性</w:t>
            </w:r>
          </w:p>
          <w:p w14:paraId="01B46F0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工件内容寻址与摘要校验</w:t>
            </w:r>
          </w:p>
          <w:p w14:paraId="4B400CA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来源登记与引用真实性校验</w:t>
            </w:r>
          </w:p>
          <w:p w14:paraId="20C7F8B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采集限制与覆盖范围声明</w:t>
            </w:r>
          </w:p>
          <w:p w14:paraId="29EE8FF5">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5</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可验证科研内核与科研治理</w:t>
            </w:r>
          </w:p>
          <w:p w14:paraId="3ACA7255">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科研对象与状态机</w:t>
            </w:r>
          </w:p>
          <w:p w14:paraId="0EFCA3C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科研对象与生命周期</w:t>
            </w:r>
          </w:p>
          <w:p w14:paraId="528BD21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状态转换与不变量校验</w:t>
            </w:r>
          </w:p>
          <w:p w14:paraId="6BE04ACC">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命令总线与幂等提交</w:t>
            </w:r>
          </w:p>
          <w:p w14:paraId="2D906688">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实验设计冻结与不可变修订</w:t>
            </w:r>
          </w:p>
          <w:p w14:paraId="781F698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实验设计与冻结合同</w:t>
            </w:r>
          </w:p>
          <w:p w14:paraId="5ADB01D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预算账本与受限资源消费</w:t>
            </w:r>
          </w:p>
          <w:p w14:paraId="4610A28C">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不可变修订与后继版本</w:t>
            </w:r>
          </w:p>
          <w:p w14:paraId="04B3FA64">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权限分离与自主编排</w:t>
            </w:r>
          </w:p>
          <w:p w14:paraId="4EB9406A">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角色职责与写入权限分离</w:t>
            </w:r>
          </w:p>
          <w:p w14:paraId="4B092BC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长期任务的编排与人工审批</w:t>
            </w:r>
          </w:p>
          <w:p w14:paraId="22432A0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失败、取消与补偿语义</w:t>
            </w:r>
          </w:p>
          <w:p w14:paraId="462BE960">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4</w:t>
            </w:r>
            <w:r>
              <w:rPr>
                <w:rFonts w:ascii="Times New Roman" w:hAnsi="Times New Roman" w:eastAsia="宋体"/>
                <w:sz w:val="24"/>
              </w:rPr>
              <w:t xml:space="preserve"> 一次性确认与声明生成</w:t>
            </w:r>
          </w:p>
          <w:p w14:paraId="2DBDF98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4</w:t>
            </w:r>
            <w:r>
              <w:rPr>
                <w:rFonts w:hint="eastAsia" w:ascii="宋体" w:hAnsi="宋体" w:cs="宋体"/>
                <w:sz w:val="24"/>
                <w:szCs w:val="24"/>
              </w:rPr>
              <w:t>.1</w:t>
            </w:r>
            <w:r>
              <w:rPr>
                <w:rFonts w:ascii="Times New Roman" w:hAnsi="Times New Roman" w:eastAsia="宋体"/>
                <w:sz w:val="24"/>
              </w:rPr>
              <w:t xml:space="preserve"> 确认合同与受限资源消费</w:t>
            </w:r>
          </w:p>
          <w:p w14:paraId="4AF19D1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搜索阶段与确认阶段的隔离</w:t>
            </w:r>
          </w:p>
          <w:p w14:paraId="1913FDB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5</w:t>
            </w:r>
            <w:r>
              <w:rPr>
                <w:rFonts w:hint="eastAsia" w:ascii="宋体" w:hAnsi="宋体" w:cs="宋体"/>
                <w:sz w:val="24"/>
                <w:szCs w:val="24"/>
              </w:rPr>
              <w:t>.</w:t>
            </w: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声明生成与适用范围限制</w:t>
            </w:r>
          </w:p>
          <w:p w14:paraId="22CD36A8">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6</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可信执行、独立评估与可复现性</w:t>
            </w:r>
          </w:p>
          <w:p w14:paraId="064D0D07">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隔离执行与信任等级</w:t>
            </w:r>
          </w:p>
          <w:p w14:paraId="6136488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不可变源码与输入快照</w:t>
            </w:r>
          </w:p>
          <w:p w14:paraId="6D75831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沙箱 Worker 与资源限制</w:t>
            </w:r>
          </w:p>
          <w:p w14:paraId="6B805E70">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信任等级与隔离能力如实上报</w:t>
            </w:r>
          </w:p>
          <w:p w14:paraId="1F177D13">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独立评估与证据绑定</w:t>
            </w:r>
          </w:p>
          <w:p w14:paraId="22BD4CB9">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独立评估器与评分回执</w:t>
            </w:r>
          </w:p>
          <w:p w14:paraId="442A4A9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Claim–Evidence 证据图与引用校验</w:t>
            </w:r>
          </w:p>
          <w:p w14:paraId="5C38A47A">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事件链完整性与篡改检测</w:t>
            </w:r>
          </w:p>
          <w:p w14:paraId="1FF9064D">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复核记录与能力边界</w:t>
            </w:r>
          </w:p>
          <w:p w14:paraId="1A37871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w:t>
            </w:r>
            <w:r>
              <w:rPr>
                <w:rFonts w:ascii="宋体" w:hAnsi="宋体" w:eastAsia="宋体" w:cs="宋体"/>
                <w:sz w:val="24"/>
                <w:szCs w:val="24"/>
              </w:rPr>
              <w:t>复核记录的组成与完整性校验</w:t>
            </w:r>
          </w:p>
          <w:p w14:paraId="5E396D82">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已登记指标的复核</w:t>
            </w:r>
          </w:p>
          <w:p w14:paraId="0232B0C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6</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系统能力边界与不保证事项</w:t>
            </w:r>
          </w:p>
          <w:p w14:paraId="401DB06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7</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系统实现与测试</w:t>
            </w:r>
          </w:p>
          <w:p w14:paraId="3B04C1A9">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系统实现与运行部署</w:t>
            </w:r>
          </w:p>
          <w:p w14:paraId="70DA3CD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技术选型与开发环境</w:t>
            </w:r>
          </w:p>
          <w:p w14:paraId="4C2FB00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模块实现与关键接口</w:t>
            </w:r>
          </w:p>
          <w:p w14:paraId="21A1BCF0">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部署方式与运行流程</w:t>
            </w:r>
          </w:p>
          <w:p w14:paraId="6DE3F86F">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功能测试与故障注入测试</w:t>
            </w:r>
          </w:p>
          <w:p w14:paraId="03BA2CD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功能测试用例与结果</w:t>
            </w:r>
          </w:p>
          <w:p w14:paraId="3930F2C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幂等、并发与崩溃恢复测试</w:t>
            </w:r>
          </w:p>
          <w:p w14:paraId="26F3041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路径、权限与恶意工件安全测试</w:t>
            </w:r>
          </w:p>
          <w:p w14:paraId="153BDA50">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多源驱动验证实验与结果分析</w:t>
            </w:r>
          </w:p>
          <w:p w14:paraId="6C3D69A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.1</w:t>
            </w:r>
            <w:r>
              <w:rPr>
                <w:rFonts w:ascii="Times New Roman" w:hAnsi="Times New Roman" w:eastAsia="宋体"/>
                <w:sz w:val="24"/>
              </w:rPr>
              <w:t xml:space="preserve"> 实验设置与评测指标</w:t>
            </w:r>
          </w:p>
          <w:p w14:paraId="5A38E70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w:t>
            </w:r>
            <w:r>
              <w:rPr>
                <w:rFonts w:ascii="宋体" w:hAnsi="宋体" w:eastAsia="宋体" w:cs="宋体"/>
                <w:sz w:val="24"/>
                <w:szCs w:val="24"/>
              </w:rPr>
              <w:t>协议遵守与证据绑定方面的对照</w:t>
            </w:r>
          </w:p>
          <w:p w14:paraId="4C8FA2D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3</w:t>
            </w:r>
            <w:r>
              <w:rPr>
                <w:rFonts w:ascii="Times New Roman" w:hAnsi="Times New Roman" w:eastAsia="宋体"/>
                <w:sz w:val="24"/>
              </w:rPr>
              <w:t xml:space="preserve"> </w:t>
            </w:r>
            <w:r>
              <w:rPr>
                <w:rFonts w:ascii="宋体" w:hAnsi="宋体" w:eastAsia="宋体" w:cs="宋体"/>
                <w:sz w:val="24"/>
                <w:szCs w:val="24"/>
              </w:rPr>
              <w:t>数值计算、公开数据分析与机制比较</w:t>
            </w:r>
          </w:p>
          <w:p w14:paraId="48AC664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7</w:t>
            </w:r>
            <w:r>
              <w:rPr>
                <w:rFonts w:hint="eastAsia" w:ascii="宋体" w:hAnsi="宋体" w:cs="宋体"/>
                <w:sz w:val="24"/>
                <w:szCs w:val="24"/>
              </w:rPr>
              <w:t>.</w:t>
            </w:r>
            <w:r>
              <w:rPr>
                <w:rFonts w:hint="eastAsia" w:ascii="宋体" w:hAnsi="宋体" w:cs="宋体"/>
                <w:sz w:val="24"/>
                <w:szCs w:val="24"/>
                <w:lang w:val="en-US" w:eastAsia="zh-CN"/>
              </w:rPr>
              <w:t>3</w:t>
            </w:r>
            <w:r>
              <w:rPr>
                <w:rFonts w:hint="eastAsia" w:ascii="宋体" w:hAnsi="宋体" w:cs="宋体"/>
                <w:sz w:val="24"/>
                <w:szCs w:val="24"/>
              </w:rPr>
              <w:t>.</w:t>
            </w:r>
            <w:r>
              <w:rPr>
                <w:rFonts w:hint="eastAsia" w:ascii="宋体" w:hAnsi="宋体" w:cs="宋体"/>
                <w:sz w:val="24"/>
                <w:szCs w:val="24"/>
                <w:lang w:val="en-US" w:eastAsia="zh-CN"/>
              </w:rPr>
              <w:t>4</w:t>
            </w:r>
            <w:r>
              <w:rPr>
                <w:rFonts w:ascii="Times New Roman" w:hAnsi="Times New Roman" w:eastAsia="宋体"/>
                <w:sz w:val="24"/>
              </w:rPr>
              <w:t xml:space="preserve"> </w:t>
            </w:r>
            <w:r>
              <w:rPr>
                <w:rFonts w:ascii="宋体" w:hAnsi="宋体" w:eastAsia="宋体" w:cs="宋体"/>
                <w:sz w:val="24"/>
                <w:szCs w:val="24"/>
              </w:rPr>
              <w:t>结果分析与必要的组件消融</w:t>
            </w:r>
          </w:p>
          <w:p w14:paraId="1AE1F237">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hint="eastAsia" w:ascii="宋体" w:hAnsi="宋体" w:cs="宋体"/>
                <w:sz w:val="24"/>
                <w:szCs w:val="24"/>
              </w:rPr>
              <w:fldChar w:fldCharType="begin"/>
            </w:r>
            <w:r>
              <w:rPr>
                <w:rFonts w:hint="eastAsia" w:ascii="宋体" w:hAnsi="宋体" w:cs="宋体"/>
                <w:sz w:val="24"/>
                <w:szCs w:val="24"/>
              </w:rPr>
              <w:instrText xml:space="preserve"> HYPERLINK \l _Toc12856 </w:instrText>
            </w:r>
            <w:r>
              <w:rPr>
                <w:rFonts w:hint="eastAsia" w:ascii="宋体" w:hAnsi="宋体" w:cs="宋体"/>
                <w:sz w:val="24"/>
                <w:szCs w:val="24"/>
              </w:rPr>
              <w:fldChar w:fldCharType="separate"/>
            </w:r>
            <w:r>
              <w:rPr>
                <w:rFonts w:hint="eastAsia" w:ascii="宋体" w:hAnsi="宋体" w:cs="宋体"/>
                <w:sz w:val="24"/>
                <w:szCs w:val="24"/>
              </w:rPr>
              <w:t>第</w:t>
            </w:r>
            <w:r>
              <w:rPr>
                <w:rFonts w:hint="eastAsia" w:ascii="宋体" w:hAnsi="宋体" w:cs="宋体"/>
                <w:sz w:val="24"/>
                <w:szCs w:val="24"/>
                <w:lang w:val="en-US" w:eastAsia="zh-CN"/>
              </w:rPr>
              <w:t>8</w:t>
            </w:r>
            <w:r>
              <w:rPr>
                <w:rFonts w:hint="eastAsia" w:ascii="宋体" w:hAnsi="宋体" w:cs="宋体"/>
                <w:sz w:val="24"/>
                <w:szCs w:val="24"/>
              </w:rPr>
              <w:t xml:space="preserve">章 </w:t>
            </w:r>
            <w:r>
              <w:rPr>
                <w:rFonts w:hint="eastAsia" w:ascii="宋体" w:hAnsi="宋体" w:cs="宋体"/>
                <w:sz w:val="24"/>
                <w:szCs w:val="24"/>
              </w:rPr>
              <w:fldChar w:fldCharType="end"/>
            </w:r>
            <w:r>
              <w:rPr>
                <w:rFonts w:ascii="Times New Roman" w:hAnsi="Times New Roman" w:eastAsia="宋体"/>
                <w:sz w:val="24"/>
              </w:rPr>
              <w:t>总结与展望</w:t>
            </w:r>
          </w:p>
          <w:p w14:paraId="23E3A0D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8</w:t>
            </w:r>
            <w:r>
              <w:rPr>
                <w:rFonts w:hint="eastAsia" w:ascii="宋体" w:hAnsi="宋体" w:cs="宋体"/>
                <w:sz w:val="24"/>
                <w:szCs w:val="24"/>
              </w:rPr>
              <w:t>.</w:t>
            </w:r>
            <w:r>
              <w:rPr>
                <w:rFonts w:hint="eastAsia" w:ascii="宋体" w:hAnsi="宋体" w:cs="宋体"/>
                <w:sz w:val="24"/>
                <w:szCs w:val="24"/>
                <w:lang w:val="en-US" w:eastAsia="zh-CN"/>
              </w:rPr>
              <w:t>1</w:t>
            </w:r>
            <w:r>
              <w:rPr>
                <w:rFonts w:ascii="Times New Roman" w:hAnsi="Times New Roman" w:eastAsia="宋体"/>
                <w:sz w:val="24"/>
              </w:rPr>
              <w:t xml:space="preserve"> 工作总结</w:t>
            </w:r>
          </w:p>
          <w:p w14:paraId="71AD0D4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8</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.1</w:t>
            </w:r>
            <w:r>
              <w:rPr>
                <w:rFonts w:ascii="Times New Roman" w:hAnsi="Times New Roman" w:eastAsia="宋体"/>
                <w:sz w:val="24"/>
              </w:rPr>
              <w:t xml:space="preserve"> 主要研究工作总结</w:t>
            </w:r>
          </w:p>
          <w:p w14:paraId="4980E201">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8</w:t>
            </w:r>
            <w:r>
              <w:rPr>
                <w:rFonts w:hint="eastAsia" w:ascii="宋体" w:hAnsi="宋体" w:cs="宋体"/>
                <w:sz w:val="24"/>
                <w:szCs w:val="24"/>
              </w:rPr>
              <w:t>.</w:t>
            </w:r>
            <w:r>
              <w:rPr>
                <w:rFonts w:hint="eastAsia" w:ascii="宋体" w:hAnsi="宋体" w:cs="宋体"/>
                <w:sz w:val="24"/>
                <w:szCs w:val="24"/>
                <w:lang w:val="en-US" w:eastAsia="zh-CN"/>
              </w:rPr>
              <w:t>1</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主要创新点</w:t>
            </w:r>
          </w:p>
          <w:p w14:paraId="5A68D124">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hint="eastAsia" w:ascii="宋体" w:hAnsi="宋体" w:cs="宋体"/>
                <w:sz w:val="24"/>
                <w:szCs w:val="24"/>
                <w:lang w:val="en-US" w:eastAsia="zh-CN"/>
              </w:rPr>
              <w:t>8</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不足与展望</w:t>
            </w:r>
          </w:p>
          <w:p w14:paraId="321BFEC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8</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.1</w:t>
            </w:r>
            <w:r>
              <w:rPr>
                <w:rFonts w:ascii="Times New Roman" w:hAnsi="Times New Roman" w:eastAsia="宋体"/>
                <w:sz w:val="24"/>
              </w:rPr>
              <w:t xml:space="preserve"> 存在的不足</w:t>
            </w:r>
          </w:p>
          <w:p w14:paraId="0CFDA4D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hint="eastAsia" w:ascii="宋体" w:hAnsi="宋体" w:cs="宋体"/>
                <w:sz w:val="24"/>
                <w:szCs w:val="24"/>
                <w:lang w:val="en-US" w:eastAsia="zh-CN"/>
              </w:rPr>
              <w:t>8</w:t>
            </w:r>
            <w:r>
              <w:rPr>
                <w:rFonts w:hint="eastAsia" w:ascii="宋体" w:hAnsi="宋体" w:cs="宋体"/>
                <w:sz w:val="24"/>
                <w:szCs w:val="24"/>
              </w:rPr>
              <w:t>.</w:t>
            </w:r>
            <w:r>
              <w:rPr>
                <w:rFonts w:hint="eastAsia" w:ascii="宋体" w:hAnsi="宋体" w:cs="宋体"/>
                <w:sz w:val="24"/>
                <w:szCs w:val="24"/>
                <w:lang w:val="en-US" w:eastAsia="zh-CN"/>
              </w:rPr>
              <w:t>2</w:t>
            </w:r>
            <w:r>
              <w:rPr>
                <w:rFonts w:hint="eastAsia" w:ascii="宋体" w:hAnsi="宋体" w:cs="宋体"/>
                <w:sz w:val="24"/>
                <w:szCs w:val="24"/>
              </w:rPr>
              <w:t>.</w:t>
            </w:r>
            <w:r>
              <w:rPr>
                <w:rFonts w:hint="eastAsia" w:ascii="宋体" w:hAnsi="宋体" w:cs="宋体"/>
                <w:sz w:val="24"/>
                <w:szCs w:val="24"/>
                <w:lang w:val="en-US" w:eastAsia="zh-CN"/>
              </w:rPr>
              <w:t>2</w:t>
            </w:r>
            <w:r>
              <w:rPr>
                <w:rFonts w:ascii="Times New Roman" w:hAnsi="Times New Roman" w:eastAsia="宋体"/>
                <w:sz w:val="24"/>
              </w:rPr>
              <w:t xml:space="preserve"> 后续工作展望</w:t>
            </w:r>
          </w:p>
          <w:p w14:paraId="644980B2">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参考文献</w:t>
            </w:r>
          </w:p>
          <w:p w14:paraId="43595713">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r>
              <w:rPr>
                <w:rFonts w:ascii="Times New Roman" w:hAnsi="Times New Roman" w:eastAsia="宋体"/>
                <w:sz w:val="24"/>
              </w:rPr>
              <w:t>致谢</w:t>
            </w:r>
          </w:p>
          <w:p w14:paraId="5BE838AE">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29493D10">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7B09886B">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6B063393">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471514A7">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6BF52BAB">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34537127">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32F2CC81">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4EA46E60">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57188120">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4E4982F8">
            <w:pPr>
              <w:keepNext w:val="0"/>
              <w:keepLines w:val="0"/>
              <w:pageBreakBefore w:val="0"/>
              <w:widowControl w:val="0"/>
              <w:tabs>
                <w:tab w:val="left" w:pos="851"/>
              </w:tabs>
              <w:kinsoku/>
              <w:wordWrap/>
              <w:overflowPunct/>
              <w:topLinePunct w:val="0"/>
              <w:autoSpaceDE/>
              <w:autoSpaceDN/>
              <w:bidi w:val="0"/>
              <w:adjustRightInd/>
              <w:snapToGrid/>
              <w:spacing w:line="360" w:lineRule="exact"/>
              <w:textAlignment w:val="auto"/>
              <w:rPr>
                <w:rFonts w:hint="eastAsia" w:ascii="Times New Roman" w:hAnsi="Times New Roman" w:eastAsia="宋体"/>
                <w:sz w:val="24"/>
                <w:lang w:eastAsia="zh-CN"/>
              </w:rPr>
            </w:pPr>
          </w:p>
          <w:p w14:paraId="25F22DB9">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79CEA651">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2C317B25">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64086C03">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78CA49B5">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5570B5A6">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4AB82695">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776CAC39">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4D18E8AD">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2804F6FF">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7C017EB8">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0EECA02D">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3DA194A6">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0310E7E2">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475DC71D">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p>
          <w:p w14:paraId="18FBC7A1">
            <w:pPr>
              <w:keepNext w:val="0"/>
              <w:keepLines w:val="0"/>
              <w:pageBreakBefore w:val="0"/>
              <w:widowControl w:val="0"/>
              <w:kinsoku/>
              <w:wordWrap/>
              <w:overflowPunct/>
              <w:topLinePunct w:val="0"/>
              <w:autoSpaceDE/>
              <w:autoSpaceDN/>
              <w:bidi w:val="0"/>
              <w:adjustRightInd/>
              <w:snapToGrid/>
              <w:spacing w:line="360" w:lineRule="exact"/>
              <w:textAlignment w:val="auto"/>
              <w:rPr>
                <w:rFonts w:ascii="Times New Roman" w:hAnsi="Times New Roman" w:eastAsia="宋体"/>
                <w:sz w:val="24"/>
              </w:rPr>
            </w:pPr>
            <w:bookmarkStart w:id="0" w:name="_GoBack"/>
            <w:bookmarkEnd w:id="0"/>
          </w:p>
          <w:p w14:paraId="3D2D8DD6">
            <w:pPr>
              <w:keepNext w:val="0"/>
              <w:keepLines w:val="0"/>
              <w:pageBreakBefore w:val="0"/>
              <w:widowControl w:val="0"/>
              <w:tabs>
                <w:tab w:val="left" w:pos="1741"/>
              </w:tabs>
              <w:kinsoku/>
              <w:wordWrap/>
              <w:overflowPunct/>
              <w:topLinePunct w:val="0"/>
              <w:autoSpaceDE/>
              <w:autoSpaceDN/>
              <w:bidi w:val="0"/>
              <w:adjustRightInd/>
              <w:snapToGrid/>
              <w:spacing w:line="360" w:lineRule="exact"/>
              <w:textAlignment w:val="auto"/>
              <w:rPr>
                <w:rFonts w:hint="eastAsia" w:ascii="Times New Roman" w:hAnsi="Times New Roman" w:eastAsia="宋体"/>
                <w:sz w:val="24"/>
                <w:lang w:eastAsia="zh-CN"/>
              </w:rPr>
            </w:pPr>
          </w:p>
        </w:tc>
      </w:tr>
    </w:tbl>
    <w:p w14:paraId="542B84AF">
      <w:pPr>
        <w:bidi w:val="0"/>
        <w:spacing w:afterAutospacing="0"/>
        <w:jc w:val="left"/>
        <w:rPr>
          <w:lang w:val="en-US" w:eastAsia="zh-CN"/>
        </w:rPr>
      </w:pPr>
    </w:p>
    <w:sectPr>
      <w:pgSz w:w="11906" w:h="16838"/>
      <w:pgMar w:top="1440" w:right="1800" w:bottom="1358"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9506C2"/>
    <w:multiLevelType w:val="singleLevel"/>
    <w:tmpl w:val="249506C2"/>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bordersDoNotSurroundHeader w:val="0"/>
  <w:bordersDoNotSurroundFooter w:val="0"/>
  <w:documentProtection w:enforcement="0"/>
  <w:defaultTabStop w:val="420"/>
  <w:drawingGridHorizontalSpacing w:val="120"/>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growAutofit/>
    <w:useFELayout/>
    <w:doNotUseIndentAsNumberingTabStop/>
    <w:compatSetting w:name="compatibilityMode" w:uri="http://schemas.microsoft.com/office/word" w:val="14"/>
  </w:compat>
  <w:rsids>
    <w:rsidRoot w:val="00000000"/>
    <w:rsid w:val="08956E09"/>
    <w:rsid w:val="10120F66"/>
    <w:rsid w:val="11620195"/>
    <w:rsid w:val="1A4A5A62"/>
    <w:rsid w:val="1B2D682E"/>
    <w:rsid w:val="25887823"/>
    <w:rsid w:val="34BB0957"/>
    <w:rsid w:val="6CE150BD"/>
    <w:rsid w:val="6FE8546F"/>
    <w:rsid w:val="72C3757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宋体" w:cs="Arial"/>
      <w:kern w:val="2"/>
      <w:sz w:val="24"/>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spacing w:before="0" w:beforeAutospacing="1" w:after="0" w:afterAutospacing="1"/>
      <w:jc w:val="left"/>
      <w:outlineLvl w:val="2"/>
    </w:pPr>
    <w:rPr>
      <w:rFonts w:ascii="宋体" w:eastAsia="宋体" w:cs="宋体"/>
      <w:b/>
      <w:bCs/>
      <w:kern w:val="0"/>
      <w:sz w:val="27"/>
      <w:szCs w:val="27"/>
      <w:lang w:val="en-US" w:eastAsia="zh-CN"/>
    </w:rPr>
  </w:style>
  <w:style w:type="character" w:default="1" w:styleId="12">
    <w:name w:val="Default Paragraph Font"/>
    <w:qFormat/>
    <w:uiPriority w:val="0"/>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rPr>
      <w:rFonts w:ascii="Times New Roman" w:hAnsi="Times New Roman" w:eastAsia="宋体" w:cs="Times New Roman"/>
      <w:szCs w:val="24"/>
    </w:rPr>
  </w:style>
  <w:style w:type="paragraph" w:styleId="6">
    <w:name w:val="Balloon Text"/>
    <w:basedOn w:val="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rPr>
  </w:style>
  <w:style w:type="paragraph" w:styleId="10">
    <w:name w:val="annotation subject"/>
    <w:basedOn w:val="5"/>
    <w:next w:val="5"/>
    <w:qFormat/>
    <w:uiPriority w:val="0"/>
    <w:rPr>
      <w:rFonts w:ascii="等线" w:eastAsia="等线" w:cs="Arial"/>
      <w:b/>
      <w:bCs/>
      <w:szCs w:val="22"/>
    </w:rPr>
  </w:style>
  <w:style w:type="character" w:styleId="13">
    <w:name w:val="Strong"/>
    <w:basedOn w:val="12"/>
    <w:qFormat/>
    <w:uiPriority w:val="0"/>
    <w:rPr>
      <w:b/>
    </w:rPr>
  </w:style>
  <w:style w:type="character" w:styleId="14">
    <w:name w:val="Hyperlink"/>
    <w:basedOn w:val="12"/>
    <w:uiPriority w:val="0"/>
    <w:rPr>
      <w:color w:val="0000FF"/>
      <w:u w:val="single"/>
    </w:rPr>
  </w:style>
  <w:style w:type="character" w:styleId="15">
    <w:name w:val="annotation reference"/>
    <w:basedOn w:val="12"/>
    <w:qFormat/>
    <w:uiPriority w:val="0"/>
    <w:rPr>
      <w:sz w:val="21"/>
      <w:szCs w:val="21"/>
    </w:rPr>
  </w:style>
  <w:style w:type="paragraph" w:customStyle="1" w:styleId="16">
    <w:name w:val="List Paragraph"/>
    <w:basedOn w:val="1"/>
    <w:qFormat/>
    <w:uiPriority w:val="0"/>
    <w:pPr>
      <w:ind w:firstLine="20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9</Pages>
  <Words>3061</Words>
  <Characters>4871</Characters>
  <Lines>274</Lines>
  <Paragraphs>133</Paragraphs>
  <TotalTime>26</TotalTime>
  <ScaleCrop>false</ScaleCrop>
  <LinksUpToDate>false</LinksUpToDate>
  <CharactersWithSpaces>5332</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2026-09-22T08:10:00Z</dcterms:created>
  <dc:creator>admin</dc:creator>
  <cp:lastModifiedBy>  </cp:lastModifiedBy>
  <dcterms:modified xsi:type="dcterms:W3CDTF">2026-10-11T04:34:27Z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eyJoZGlkIjoiN2I1YTMyMzc2YTNkOGZkZjBhNzBlODMzN2FmYTFhNmIiLCJ1c2VySWQiOiI5MTAwNzY4NzcifQ==</vt:lpwstr>
  </property>
  <property fmtid="{D5CDD505-2E9C-101B-9397-08002B2CF9AE}" pid="3" name="KSOProductBuildVer">
    <vt:lpwstr>2052-12.1.0.20305</vt:lpwstr>
  </property>
  <property fmtid="{D5CDD505-2E9C-101B-9397-08002B2CF9AE}" pid="4" name="ICV">
    <vt:lpwstr>65863A253CE44129BC2F5EBBA30F1CE7_13</vt:lpwstr>
  </property>
</Properties>
</file>