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0D609">
      <w:pPr>
        <w:jc w:val="left"/>
        <w:rPr>
          <w:rFonts w:hint="eastAsia" w:ascii="宋体" w:hAnsi="宋体" w:eastAsia="宋体" w:cs="宋体"/>
          <w:color w:val="000000"/>
          <w:szCs w:val="21"/>
          <w:lang w:val="en-US" w:eastAsia="zh-CN"/>
        </w:rPr>
      </w:pPr>
      <w:r>
        <w:rPr>
          <w:rFonts w:hint="eastAsia" w:ascii="Times New Roman" w:hAnsi="Times New Roman" w:eastAsia="宋体" w:cs="Times New Roman"/>
          <w:color w:val="000000"/>
          <w:szCs w:val="21"/>
        </w:rPr>
        <w:t>附件</w:t>
      </w:r>
      <w:r>
        <w:rPr>
          <w:rFonts w:hint="eastAsia" w:ascii="宋体" w:hAnsi="宋体" w:cs="宋体"/>
          <w:color w:val="000000"/>
          <w:szCs w:val="21"/>
          <w:lang w:val="en-US" w:eastAsia="zh-CN"/>
        </w:rPr>
        <w:t>四</w:t>
      </w:r>
    </w:p>
    <w:p w14:paraId="7AD32E51">
      <w:pPr>
        <w:jc w:val="center"/>
        <w:rPr>
          <w:rFonts w:ascii="黑体" w:eastAsia="黑体" w:cs="Times New Roman"/>
          <w:b/>
          <w:bCs/>
          <w:sz w:val="32"/>
          <w:szCs w:val="32"/>
        </w:rPr>
      </w:pPr>
      <w:r>
        <w:rPr>
          <w:rFonts w:hint="eastAsia" w:ascii="黑体" w:eastAsia="黑体" w:cs="Times New Roman"/>
          <w:b/>
          <w:bCs/>
          <w:sz w:val="32"/>
          <w:szCs w:val="32"/>
        </w:rPr>
        <w:t>本科毕业论文开题报告表</w:t>
      </w:r>
    </w:p>
    <w:tbl>
      <w:tblPr>
        <w:tblStyle w:val="11"/>
        <w:tblW w:w="94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610"/>
        <w:gridCol w:w="1344"/>
        <w:gridCol w:w="893"/>
        <w:gridCol w:w="1282"/>
        <w:gridCol w:w="1303"/>
        <w:gridCol w:w="1808"/>
      </w:tblGrid>
      <w:tr w14:paraId="299E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jc w:val="center"/>
        </w:trPr>
        <w:tc>
          <w:tcPr>
            <w:tcW w:w="1218" w:type="dxa"/>
            <w:vAlign w:val="center"/>
          </w:tcPr>
          <w:p w14:paraId="51CD9ED8">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学生姓名</w:t>
            </w:r>
          </w:p>
        </w:tc>
        <w:tc>
          <w:tcPr>
            <w:tcW w:w="1610" w:type="dxa"/>
            <w:vAlign w:val="center"/>
          </w:tcPr>
          <w:p w14:paraId="42E2C15F">
            <w:pPr>
              <w:jc w:val="center"/>
              <w:rPr>
                <w:rFonts w:ascii="Times New Roman" w:hAnsi="Times New Roman" w:eastAsia="宋体" w:cs="Times New Roman"/>
                <w:sz w:val="24"/>
                <w:szCs w:val="24"/>
              </w:rPr>
            </w:pPr>
            <w:r>
              <w:rPr>
                <w:rFonts w:hint="eastAsia" w:ascii="宋体" w:hAnsi="宋体"/>
                <w:sz w:val="24"/>
                <w:lang w:val="en-US" w:eastAsia="zh-CN"/>
              </w:rPr>
              <w:t>王俊博</w:t>
            </w:r>
          </w:p>
        </w:tc>
        <w:tc>
          <w:tcPr>
            <w:tcW w:w="1344" w:type="dxa"/>
            <w:vAlign w:val="center"/>
          </w:tcPr>
          <w:p w14:paraId="48AC2E9A">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学 院</w:t>
            </w:r>
          </w:p>
        </w:tc>
        <w:tc>
          <w:tcPr>
            <w:tcW w:w="2175" w:type="dxa"/>
            <w:gridSpan w:val="2"/>
            <w:vAlign w:val="center"/>
          </w:tcPr>
          <w:p w14:paraId="17DFD9A0">
            <w:pPr>
              <w:jc w:val="center"/>
              <w:rPr>
                <w:rFonts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人工智能学院</w:t>
            </w:r>
          </w:p>
        </w:tc>
        <w:tc>
          <w:tcPr>
            <w:tcW w:w="1303" w:type="dxa"/>
            <w:vMerge w:val="restart"/>
            <w:vAlign w:val="center"/>
          </w:tcPr>
          <w:p w14:paraId="47C972F6">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专业</w:t>
            </w:r>
          </w:p>
          <w:p w14:paraId="2137F581">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（方向）</w:t>
            </w:r>
          </w:p>
        </w:tc>
        <w:tc>
          <w:tcPr>
            <w:tcW w:w="1808" w:type="dxa"/>
            <w:vMerge w:val="restart"/>
            <w:vAlign w:val="center"/>
          </w:tcPr>
          <w:p w14:paraId="6CBEEAC8">
            <w:pPr>
              <w:jc w:val="center"/>
              <w:rPr>
                <w:rFonts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数据科学与大数据技术</w:t>
            </w:r>
          </w:p>
        </w:tc>
      </w:tr>
      <w:tr w14:paraId="79F0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1218" w:type="dxa"/>
            <w:vAlign w:val="center"/>
          </w:tcPr>
          <w:p w14:paraId="5D1E1E23">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班 级</w:t>
            </w:r>
          </w:p>
        </w:tc>
        <w:tc>
          <w:tcPr>
            <w:tcW w:w="1610" w:type="dxa"/>
            <w:vAlign w:val="center"/>
          </w:tcPr>
          <w:p w14:paraId="773B8D23">
            <w:pPr>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数据科学与大数据技术</w:t>
            </w:r>
            <w:r>
              <w:rPr>
                <w:rFonts w:hint="eastAsia" w:ascii="Times New Roman" w:hAnsi="Times New Roman" w:cs="Times New Roman"/>
                <w:sz w:val="24"/>
                <w:szCs w:val="24"/>
                <w:lang w:val="en-US" w:eastAsia="zh-CN"/>
              </w:rPr>
              <w:t>2301</w:t>
            </w:r>
          </w:p>
        </w:tc>
        <w:tc>
          <w:tcPr>
            <w:tcW w:w="1344" w:type="dxa"/>
            <w:vAlign w:val="center"/>
          </w:tcPr>
          <w:p w14:paraId="3FD29D03">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学 号</w:t>
            </w:r>
          </w:p>
        </w:tc>
        <w:tc>
          <w:tcPr>
            <w:tcW w:w="2175" w:type="dxa"/>
            <w:gridSpan w:val="2"/>
            <w:vAlign w:val="center"/>
          </w:tcPr>
          <w:p w14:paraId="2B48AE61">
            <w:pPr>
              <w:jc w:val="center"/>
              <w:rPr>
                <w:rFonts w:ascii="Times New Roman" w:hAnsi="Times New Roman" w:eastAsia="宋体" w:cs="Times New Roman"/>
                <w:sz w:val="24"/>
                <w:szCs w:val="24"/>
                <w:lang w:val="en-US" w:eastAsia="zh-CN"/>
              </w:rPr>
            </w:pPr>
            <w:r>
              <w:rPr>
                <w:rFonts w:hint="eastAsia" w:ascii="宋体" w:hAnsi="宋体"/>
                <w:sz w:val="24"/>
                <w:lang w:val="en-US" w:eastAsia="zh-CN"/>
              </w:rPr>
              <w:t>2023000287</w:t>
            </w:r>
          </w:p>
        </w:tc>
        <w:tc>
          <w:tcPr>
            <w:tcW w:w="1303" w:type="dxa"/>
            <w:vMerge w:val="continue"/>
            <w:vAlign w:val="center"/>
          </w:tcPr>
          <w:p w14:paraId="6958D39C"/>
        </w:tc>
        <w:tc>
          <w:tcPr>
            <w:tcW w:w="1808" w:type="dxa"/>
            <w:vMerge w:val="continue"/>
            <w:vAlign w:val="center"/>
          </w:tcPr>
          <w:p w14:paraId="050DD5FA"/>
        </w:tc>
      </w:tr>
      <w:tr w14:paraId="7474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8" w:type="dxa"/>
            <w:vMerge w:val="restart"/>
            <w:vAlign w:val="center"/>
          </w:tcPr>
          <w:p w14:paraId="198119F0">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指导</w:t>
            </w:r>
          </w:p>
          <w:p w14:paraId="3423D37E">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教师</w:t>
            </w:r>
          </w:p>
        </w:tc>
        <w:tc>
          <w:tcPr>
            <w:tcW w:w="1610" w:type="dxa"/>
            <w:vAlign w:val="center"/>
          </w:tcPr>
          <w:p w14:paraId="0CE6194B">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姓 名</w:t>
            </w:r>
          </w:p>
        </w:tc>
        <w:tc>
          <w:tcPr>
            <w:tcW w:w="2237" w:type="dxa"/>
            <w:gridSpan w:val="2"/>
            <w:vAlign w:val="center"/>
          </w:tcPr>
          <w:p w14:paraId="62D6EA23">
            <w:pPr>
              <w:jc w:val="center"/>
              <w:rPr>
                <w:rFonts w:ascii="Times New Roman" w:hAnsi="Times New Roman" w:eastAsia="宋体" w:cs="Times New Roman"/>
                <w:sz w:val="24"/>
                <w:szCs w:val="24"/>
                <w:lang w:val="en-US" w:eastAsia="zh-CN"/>
              </w:rPr>
            </w:pPr>
            <w:r>
              <w:rPr>
                <w:rFonts w:hint="eastAsia" w:ascii="宋体" w:hAnsi="宋体"/>
                <w:sz w:val="24"/>
                <w:lang w:val="en-US" w:eastAsia="zh-CN"/>
              </w:rPr>
              <w:t>于秋野</w:t>
            </w:r>
          </w:p>
        </w:tc>
        <w:tc>
          <w:tcPr>
            <w:tcW w:w="1282" w:type="dxa"/>
            <w:vAlign w:val="center"/>
          </w:tcPr>
          <w:p w14:paraId="7058F853">
            <w:pPr>
              <w:jc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称职</w:t>
            </w:r>
          </w:p>
        </w:tc>
        <w:tc>
          <w:tcPr>
            <w:tcW w:w="3111" w:type="dxa"/>
            <w:gridSpan w:val="2"/>
            <w:vAlign w:val="center"/>
          </w:tcPr>
          <w:p w14:paraId="52A91C14">
            <w:pPr>
              <w:jc w:val="center"/>
              <w:rPr>
                <w:rFonts w:ascii="等线" w:hAnsi="等线" w:eastAsia="宋体" w:cs="Arial"/>
                <w:kern w:val="2"/>
                <w:sz w:val="24"/>
                <w:szCs w:val="22"/>
                <w:lang w:val="en-US" w:eastAsia="zh-CN" w:bidi="ar-SA"/>
              </w:rPr>
            </w:pPr>
            <w:r>
              <w:rPr>
                <w:rFonts w:hint="eastAsia" w:ascii="宋体" w:hAnsi="宋体"/>
                <w:sz w:val="24"/>
                <w:lang w:val="en-US" w:eastAsia="zh-CN"/>
              </w:rPr>
              <w:t>副教授</w:t>
            </w:r>
          </w:p>
        </w:tc>
      </w:tr>
      <w:tr w14:paraId="05D6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8" w:type="dxa"/>
            <w:vMerge w:val="continue"/>
            <w:vAlign w:val="center"/>
          </w:tcPr>
          <w:p w14:paraId="1995A299"/>
        </w:tc>
        <w:tc>
          <w:tcPr>
            <w:tcW w:w="1610" w:type="dxa"/>
            <w:vAlign w:val="center"/>
          </w:tcPr>
          <w:p w14:paraId="2BACC67C">
            <w:pPr>
              <w:jc w:val="center"/>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姓 名</w:t>
            </w:r>
          </w:p>
        </w:tc>
        <w:tc>
          <w:tcPr>
            <w:tcW w:w="2237" w:type="dxa"/>
            <w:gridSpan w:val="2"/>
            <w:vAlign w:val="center"/>
          </w:tcPr>
          <w:p w14:paraId="1A515B9C">
            <w:pPr>
              <w:jc w:val="center"/>
              <w:rPr>
                <w:rFonts w:ascii="Times New Roman" w:hAnsi="Times New Roman" w:eastAsia="宋体" w:cs="Times New Roman"/>
                <w:sz w:val="24"/>
                <w:szCs w:val="24"/>
                <w:lang w:val="en-US" w:eastAsia="zh-CN"/>
              </w:rPr>
            </w:pPr>
          </w:p>
        </w:tc>
        <w:tc>
          <w:tcPr>
            <w:tcW w:w="1282" w:type="dxa"/>
            <w:vAlign w:val="center"/>
          </w:tcPr>
          <w:p w14:paraId="14882D9B">
            <w:pPr>
              <w:jc w:val="center"/>
              <w:rPr>
                <w:rFonts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工作单位</w:t>
            </w:r>
          </w:p>
        </w:tc>
        <w:tc>
          <w:tcPr>
            <w:tcW w:w="3111" w:type="dxa"/>
            <w:gridSpan w:val="2"/>
            <w:vAlign w:val="center"/>
          </w:tcPr>
          <w:p w14:paraId="529A6120">
            <w:pPr>
              <w:jc w:val="center"/>
              <w:rPr>
                <w:rFonts w:cs="Arial"/>
                <w:kern w:val="2"/>
                <w:sz w:val="24"/>
                <w:szCs w:val="22"/>
                <w:lang w:val="en-US" w:eastAsia="zh-CN" w:bidi="ar-SA"/>
              </w:rPr>
            </w:pPr>
          </w:p>
        </w:tc>
      </w:tr>
      <w:tr w14:paraId="787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3" w:hRule="atLeast"/>
          <w:jc w:val="center"/>
        </w:trPr>
        <w:tc>
          <w:tcPr>
            <w:tcW w:w="1218" w:type="dxa"/>
            <w:vMerge w:val="restart"/>
            <w:vAlign w:val="center"/>
          </w:tcPr>
          <w:p w14:paraId="581E3795">
            <w:pPr>
              <w:jc w:val="center"/>
              <w:rPr>
                <w:rFonts w:ascii="Times New Roman" w:hAnsi="Times New Roman" w:eastAsia="宋体" w:cs="Times New Roman"/>
                <w:sz w:val="28"/>
                <w:szCs w:val="24"/>
              </w:rPr>
            </w:pPr>
          </w:p>
          <w:p w14:paraId="6D7B66B1">
            <w:pPr>
              <w:jc w:val="center"/>
              <w:rPr>
                <w:rFonts w:ascii="Times New Roman" w:hAnsi="Times New Roman" w:eastAsia="宋体" w:cs="Times New Roman"/>
                <w:sz w:val="28"/>
                <w:szCs w:val="24"/>
              </w:rPr>
            </w:pPr>
          </w:p>
          <w:p w14:paraId="39493F52">
            <w:pPr>
              <w:jc w:val="center"/>
              <w:rPr>
                <w:rFonts w:ascii="Times New Roman" w:hAnsi="Times New Roman" w:eastAsia="宋体" w:cs="Times New Roman"/>
                <w:sz w:val="28"/>
                <w:szCs w:val="24"/>
              </w:rPr>
            </w:pPr>
          </w:p>
          <w:p w14:paraId="68A2DC65">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开</w:t>
            </w:r>
          </w:p>
          <w:p w14:paraId="5BB1FD42">
            <w:pPr>
              <w:rPr>
                <w:rFonts w:ascii="Times New Roman" w:hAnsi="Times New Roman" w:eastAsia="宋体" w:cs="Times New Roman"/>
                <w:sz w:val="28"/>
                <w:szCs w:val="24"/>
              </w:rPr>
            </w:pPr>
          </w:p>
          <w:p w14:paraId="61FF87E0">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题</w:t>
            </w:r>
          </w:p>
          <w:p w14:paraId="3AA30839">
            <w:pPr>
              <w:rPr>
                <w:rFonts w:ascii="Times New Roman" w:hAnsi="Times New Roman" w:eastAsia="宋体" w:cs="Times New Roman"/>
                <w:sz w:val="28"/>
                <w:szCs w:val="24"/>
              </w:rPr>
            </w:pPr>
          </w:p>
          <w:p w14:paraId="0023C81B">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报</w:t>
            </w:r>
          </w:p>
          <w:p w14:paraId="043F0E0D">
            <w:pPr>
              <w:rPr>
                <w:rFonts w:ascii="Times New Roman" w:hAnsi="Times New Roman" w:eastAsia="宋体" w:cs="Times New Roman"/>
                <w:sz w:val="28"/>
                <w:szCs w:val="24"/>
              </w:rPr>
            </w:pPr>
          </w:p>
          <w:p w14:paraId="6384E2D6">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告</w:t>
            </w:r>
          </w:p>
          <w:p w14:paraId="49A85E42">
            <w:pPr>
              <w:rPr>
                <w:rFonts w:ascii="Times New Roman" w:hAnsi="Times New Roman" w:eastAsia="宋体" w:cs="Times New Roman"/>
                <w:sz w:val="28"/>
                <w:szCs w:val="24"/>
              </w:rPr>
            </w:pPr>
          </w:p>
          <w:p w14:paraId="5737A0A9">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内</w:t>
            </w:r>
          </w:p>
          <w:p w14:paraId="52C3728C">
            <w:pPr>
              <w:rPr>
                <w:rFonts w:ascii="Times New Roman" w:hAnsi="Times New Roman" w:eastAsia="宋体" w:cs="Times New Roman"/>
                <w:sz w:val="28"/>
                <w:szCs w:val="24"/>
              </w:rPr>
            </w:pPr>
          </w:p>
          <w:p w14:paraId="3AB29F15">
            <w:pPr>
              <w:jc w:val="center"/>
              <w:rPr>
                <w:rFonts w:ascii="Times New Roman" w:hAnsi="Times New Roman" w:eastAsia="宋体" w:cs="Times New Roman"/>
                <w:sz w:val="28"/>
                <w:szCs w:val="24"/>
              </w:rPr>
            </w:pPr>
            <w:r>
              <w:rPr>
                <w:rFonts w:hint="eastAsia" w:ascii="Times New Roman" w:hAnsi="Times New Roman" w:eastAsia="宋体" w:cs="Times New Roman"/>
                <w:sz w:val="28"/>
                <w:szCs w:val="24"/>
              </w:rPr>
              <w:t>容</w:t>
            </w:r>
          </w:p>
          <w:p w14:paraId="02F5DA1A">
            <w:pPr>
              <w:rPr>
                <w:rFonts w:ascii="Times New Roman" w:hAnsi="Times New Roman" w:eastAsia="宋体" w:cs="Times New Roman"/>
                <w:sz w:val="28"/>
                <w:szCs w:val="24"/>
              </w:rPr>
            </w:pPr>
          </w:p>
          <w:p w14:paraId="63D11CCD">
            <w:pPr>
              <w:rPr>
                <w:rFonts w:ascii="Times New Roman" w:hAnsi="Times New Roman" w:eastAsia="宋体" w:cs="Times New Roman"/>
                <w:sz w:val="28"/>
                <w:szCs w:val="24"/>
              </w:rPr>
            </w:pPr>
          </w:p>
          <w:p w14:paraId="74E9077E">
            <w:pPr>
              <w:rPr>
                <w:rFonts w:ascii="Times New Roman" w:hAnsi="Times New Roman" w:eastAsia="宋体" w:cs="Times New Roman"/>
                <w:sz w:val="28"/>
                <w:szCs w:val="24"/>
              </w:rPr>
            </w:pPr>
          </w:p>
        </w:tc>
        <w:tc>
          <w:tcPr>
            <w:tcW w:w="8240" w:type="dxa"/>
            <w:gridSpan w:val="6"/>
          </w:tcPr>
          <w:p w14:paraId="101AA4BC">
            <w:pPr>
              <w:keepNext w:val="0"/>
              <w:keepLines w:val="0"/>
              <w:pageBreakBefore w:val="0"/>
              <w:widowControl w:val="0"/>
              <w:kinsoku/>
              <w:wordWrap/>
              <w:overflowPunct/>
              <w:topLinePunct w:val="0"/>
              <w:autoSpaceDE/>
              <w:autoSpaceDN/>
              <w:bidi w:val="0"/>
              <w:adjustRightInd/>
              <w:snapToGrid/>
              <w:spacing w:line="400" w:lineRule="exact"/>
              <w:textAlignment w:val="auto"/>
              <w:rPr>
                <w:sz w:val="24"/>
              </w:rPr>
            </w:pPr>
            <w:r>
              <w:rPr>
                <w:rFonts w:hint="eastAsia"/>
                <w:sz w:val="24"/>
              </w:rPr>
              <w:t>题目(中、外文)：</w:t>
            </w:r>
          </w:p>
          <w:p w14:paraId="335EE527">
            <w:pPr>
              <w:keepNext w:val="0"/>
              <w:keepLines w:val="0"/>
              <w:pageBreakBefore w:val="0"/>
              <w:widowControl w:val="0"/>
              <w:kinsoku/>
              <w:wordWrap/>
              <w:overflowPunct/>
              <w:topLinePunct w:val="0"/>
              <w:autoSpaceDE/>
              <w:autoSpaceDN/>
              <w:bidi w:val="0"/>
              <w:adjustRightInd/>
              <w:snapToGrid/>
              <w:spacing w:before="0" w:after="0" w:line="400" w:lineRule="exact"/>
              <w:textAlignment w:val="auto"/>
              <w:rPr>
                <w:sz w:val="24"/>
                <w:szCs w:val="24"/>
              </w:rPr>
            </w:pPr>
            <w:r>
              <w:rPr>
                <w:rFonts w:ascii="Times New Roman" w:hAnsi="Times New Roman" w:eastAsia="宋体"/>
                <w:sz w:val="24"/>
                <w:szCs w:val="24"/>
              </w:rPr>
              <w:t>基于多源异构数据驱动的学术研究智能支持系统的设计与实现</w:t>
            </w:r>
          </w:p>
          <w:p w14:paraId="06B52745">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cs="Times New Roman"/>
                <w:sz w:val="24"/>
                <w:szCs w:val="24"/>
              </w:rPr>
            </w:pPr>
            <w:r>
              <w:rPr>
                <w:rFonts w:ascii="Times New Roman" w:hAnsi="Times New Roman" w:eastAsia="宋体"/>
                <w:sz w:val="24"/>
              </w:rPr>
              <w:t>Design and Implementation of an Intelligent Academic Research Support System Driven by Multi-Source Heterogeneous Data</w:t>
            </w:r>
          </w:p>
        </w:tc>
      </w:tr>
      <w:tr w14:paraId="620B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65" w:hRule="atLeast"/>
          <w:jc w:val="center"/>
        </w:trPr>
        <w:tc>
          <w:tcPr>
            <w:tcW w:w="1218" w:type="dxa"/>
            <w:vMerge w:val="continue"/>
          </w:tcPr>
          <w:p w14:paraId="0EAF3284"/>
        </w:tc>
        <w:tc>
          <w:tcPr>
            <w:tcW w:w="8240" w:type="dxa"/>
            <w:gridSpan w:val="6"/>
          </w:tcPr>
          <w:p w14:paraId="1EF5659C">
            <w:pPr>
              <w:rPr>
                <w:sz w:val="24"/>
              </w:rPr>
            </w:pPr>
            <w:r>
              <w:rPr>
                <w:rFonts w:hint="eastAsia"/>
                <w:sz w:val="24"/>
              </w:rPr>
              <w:t>选题的目的和意义：</w:t>
            </w:r>
          </w:p>
          <w:p w14:paraId="7BD6DA1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学术研究依赖文献、代码修订与实验产物等多源异构数据，这些数据形态不同、来源分散，却共同驱动假设提出、实验执行与结论形成。现有科研辅助系统对上述数据的接入与使用仍不充分：或缺少统一登记与来源追踪，使结论难以核对到原始输入与运行工件；或虽引入大语言模型辅助生成，却缺少状态机约束与独立评估，导致分数、引用与结论性表述无法回溯到冻结输入。</w:t>
            </w:r>
          </w:p>
          <w:p w14:paraId="2F895C5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课题拟设计并实现基于多源异构数据驱动的学术研究智能支持系统：以文献、代码修订和实验产物为驱动输入，经分源登记与内容摘要进入科研内核；由内核约束假设、实验设计与结论流转，并由独立评估重算分数与科学判断，使结论可核对、过程可审计，为个人研究者提供本地优先的科研基础设施。</w:t>
            </w:r>
          </w:p>
        </w:tc>
      </w:tr>
      <w:tr w14:paraId="1FE33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8" w:type="dxa"/>
            <w:vMerge w:val="continue"/>
          </w:tcPr>
          <w:p w14:paraId="6E74F225"/>
        </w:tc>
        <w:tc>
          <w:tcPr>
            <w:tcW w:w="8240" w:type="dxa"/>
            <w:gridSpan w:val="6"/>
          </w:tcPr>
          <w:p w14:paraId="0BD63771">
            <w:pPr>
              <w:keepNext w:val="0"/>
              <w:keepLines w:val="0"/>
              <w:pageBreakBefore w:val="0"/>
              <w:widowControl w:val="0"/>
              <w:kinsoku/>
              <w:wordWrap/>
              <w:overflowPunct/>
              <w:topLinePunct w:val="0"/>
              <w:autoSpaceDE/>
              <w:autoSpaceDN/>
              <w:bidi w:val="0"/>
              <w:adjustRightInd/>
              <w:snapToGrid/>
              <w:spacing w:line="400" w:lineRule="exact"/>
              <w:textAlignment w:val="auto"/>
              <w:rPr>
                <w:sz w:val="24"/>
              </w:rPr>
            </w:pPr>
            <w:r>
              <w:rPr>
                <w:rFonts w:hint="eastAsia"/>
                <w:sz w:val="24"/>
              </w:rPr>
              <w:t>拟研究的内容、思路与方法：</w:t>
            </w:r>
          </w:p>
          <w:p w14:paraId="1375B1E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课题围绕多源异构数据驱动的学术研究智能支持系统展开，主要内容分四部分。（1）多源异构驱动输入的登记与证据化。以文献、代码修订和实验产物三类异构数据为驱动来源：文献记录查询范围、来源与全文可达性，不可达内容保持未验证；代码以不可变修订及其内容摘要进入运行；数据集与运行产物按角色登记摘要并绑定到相应科研对象；三类输入分源登记、以摘要关联，不合并为直接生成结论的统一文本。（2）科研对象、状态机与写入边界。定义研究、假设、实验设计、观察、决策和声明等类型化对象；修订只产生后继版本，实验设计冻结后不可更改；每类对象仅有一个权威写入方；智能体可提议动作，但不能写入观察、分数和科学判断。（3）隔离执行、独立评估与确认。每次运行绑定源码与输入快照，在本地或沙箱中执行并如实报告信任等级；搜索阶段只用开发数据，确认数据只打开一次；独立评估器生成评分回执；描述性阈值状态与独立科学判断分别记录。（4）系统实现与验证。工作台与命令入口仅提交动作；工程测试检验非法状态转移、幂等、崩溃恢复与篡改检测；在冻结协议下开展数值计算、公开数据分析和机制比较，检验多源驱动下内核通用性，结论区分为支持、反驳和证据不足。</w:t>
            </w:r>
          </w:p>
          <w:p w14:paraId="7A9677E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ascii="Times New Roman" w:hAnsi="Times New Roman" w:eastAsia="宋体" w:cs="Times New Roman"/>
                <w:sz w:val="24"/>
                <w:szCs w:val="24"/>
              </w:rPr>
            </w:pPr>
            <w:r>
              <w:rPr>
                <w:rFonts w:ascii="Times New Roman" w:hAnsi="Times New Roman" w:eastAsia="宋体" w:cs="Times New Roman"/>
                <w:sz w:val="24"/>
                <w:szCs w:val="24"/>
              </w:rPr>
              <w:t>研究思路为先输入后内核、先内核后界面：先明确三类异构数据如何登记并驱动研究流程，再确立对象状态与写入权限，最后叠加执行与界面；界面与模型不保存科研事实。研究方法包括文献调研、对比分析、模块化设计与原型实现；工程验证采用故障注入；科研验证在预先登记的冻结协议下比较竞争解释。若设置不受内核约束的智能体作对照，对照限于协议遵守和证据绑定。</w:t>
            </w:r>
          </w:p>
        </w:tc>
      </w:tr>
      <w:tr w14:paraId="6E2B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65" w:hRule="atLeast"/>
          <w:jc w:val="center"/>
        </w:trPr>
        <w:tc>
          <w:tcPr>
            <w:tcW w:w="1218" w:type="dxa"/>
            <w:vMerge w:val="continue"/>
          </w:tcPr>
          <w:p w14:paraId="0A9342E9"/>
        </w:tc>
        <w:tc>
          <w:tcPr>
            <w:tcW w:w="8240" w:type="dxa"/>
            <w:gridSpan w:val="6"/>
          </w:tcPr>
          <w:p w14:paraId="03C4D945">
            <w:pPr>
              <w:rPr>
                <w:sz w:val="24"/>
              </w:rPr>
            </w:pPr>
            <w:r>
              <w:rPr>
                <w:rFonts w:hint="eastAsia"/>
                <w:sz w:val="24"/>
              </w:rPr>
              <w:t>进度安排：</w:t>
            </w:r>
          </w:p>
          <w:p w14:paraId="7B44640B">
            <w:pPr>
              <w:spacing w:before="0" w:after="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2026.09—2026.10（第2—8周）</w:t>
            </w:r>
            <w:r>
              <w:rPr>
                <w:rFonts w:hint="eastAsia" w:ascii="宋体" w:hAnsi="宋体" w:cs="宋体"/>
                <w:sz w:val="24"/>
                <w:szCs w:val="24"/>
                <w:lang w:eastAsia="zh-CN"/>
              </w:rPr>
              <w:t>：</w:t>
            </w:r>
            <w:r>
              <w:rPr>
                <w:rFonts w:hint="eastAsia" w:ascii="宋体" w:hAnsi="宋体" w:eastAsia="宋体" w:cs="宋体"/>
                <w:sz w:val="24"/>
                <w:szCs w:val="24"/>
              </w:rPr>
              <w:t>选题与开题：在指导教师指导下确定选题方向，梳理国内外研究现状，论证技术路线，撰写开题报告与论文提纲，第8周通过开题小组审核。</w:t>
            </w:r>
          </w:p>
          <w:p w14:paraId="05834AC7">
            <w:pPr>
              <w:spacing w:before="0" w:after="0" w:line="400" w:lineRule="exact"/>
              <w:ind w:firstLine="480" w:firstLineChars="200"/>
              <w:rPr>
                <w:rFonts w:hint="eastAsia" w:ascii="宋体" w:hAnsi="宋体" w:cs="宋体"/>
                <w:sz w:val="24"/>
                <w:szCs w:val="24"/>
                <w:lang w:eastAsia="zh-CN"/>
              </w:rPr>
            </w:pPr>
            <w:r>
              <w:rPr>
                <w:rFonts w:hint="eastAsia" w:ascii="宋体" w:hAnsi="宋体" w:eastAsia="宋体" w:cs="宋体"/>
                <w:sz w:val="24"/>
                <w:szCs w:val="24"/>
              </w:rPr>
              <w:t>2026.10—2026.11（第9—13周）</w:t>
            </w:r>
            <w:r>
              <w:rPr>
                <w:rFonts w:hint="eastAsia" w:ascii="宋体" w:hAnsi="宋体" w:cs="宋体"/>
                <w:sz w:val="24"/>
                <w:szCs w:val="24"/>
                <w:lang w:eastAsia="zh-CN"/>
              </w:rPr>
              <w:t>：完成科研对象、状态机、写入边界和证据绑定的接口设计，确定文献、代码修订与实验产物的登记方式。</w:t>
            </w:r>
          </w:p>
          <w:p w14:paraId="4A48343D">
            <w:pPr>
              <w:spacing w:before="0" w:after="0" w:line="400" w:lineRule="exact"/>
              <w:ind w:firstLine="480" w:firstLineChars="200"/>
              <w:rPr>
                <w:rFonts w:hint="eastAsia" w:ascii="宋体" w:hAnsi="宋体" w:cs="宋体"/>
                <w:sz w:val="24"/>
                <w:szCs w:val="24"/>
                <w:lang w:eastAsia="zh-CN"/>
              </w:rPr>
            </w:pPr>
            <w:r>
              <w:rPr>
                <w:rFonts w:hint="eastAsia" w:ascii="宋体" w:hAnsi="宋体" w:eastAsia="宋体" w:cs="宋体"/>
                <w:sz w:val="24"/>
                <w:szCs w:val="24"/>
              </w:rPr>
              <w:t>2026.11—2027.01（第14—19周）</w:t>
            </w:r>
            <w:r>
              <w:rPr>
                <w:rFonts w:hint="eastAsia" w:ascii="宋体" w:hAnsi="宋体" w:cs="宋体"/>
                <w:sz w:val="24"/>
                <w:szCs w:val="24"/>
                <w:lang w:eastAsia="zh-CN"/>
              </w:rPr>
              <w:t>：完成科研状态机、研究输入登记、独立评估与事件链，期末提交完整初稿。</w:t>
            </w:r>
          </w:p>
          <w:p w14:paraId="025FCC10">
            <w:pPr>
              <w:spacing w:before="0" w:after="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2027.03—2027.04（第1—5周）</w:t>
            </w:r>
            <w:r>
              <w:rPr>
                <w:rFonts w:hint="eastAsia" w:ascii="宋体" w:hAnsi="宋体" w:cs="宋体"/>
                <w:sz w:val="24"/>
                <w:szCs w:val="24"/>
                <w:lang w:eastAsia="zh-CN"/>
              </w:rPr>
              <w:t>：</w:t>
            </w:r>
            <w:r>
              <w:rPr>
                <w:rFonts w:hint="eastAsia" w:ascii="宋体" w:hAnsi="宋体" w:eastAsia="宋体" w:cs="宋体"/>
                <w:sz w:val="24"/>
                <w:szCs w:val="24"/>
              </w:rPr>
              <w:t>智能体与执行链路实现：完成智能体编排、隔离执行、独立评估与工作台前端集成，按中期检查意见修改并提交二稿。</w:t>
            </w:r>
          </w:p>
          <w:p w14:paraId="729C6E65">
            <w:pPr>
              <w:spacing w:before="0" w:after="0" w:line="400" w:lineRule="exact"/>
              <w:ind w:firstLine="480" w:firstLineChars="200"/>
              <w:rPr>
                <w:rFonts w:hint="eastAsia" w:ascii="宋体" w:hAnsi="宋体" w:cs="宋体"/>
                <w:sz w:val="24"/>
                <w:szCs w:val="24"/>
                <w:lang w:eastAsia="zh-CN"/>
              </w:rPr>
            </w:pPr>
            <w:r>
              <w:rPr>
                <w:rFonts w:hint="eastAsia" w:ascii="宋体" w:hAnsi="宋体" w:eastAsia="宋体" w:cs="宋体"/>
                <w:sz w:val="24"/>
                <w:szCs w:val="24"/>
              </w:rPr>
              <w:t>2027.04—2027.05（第6—12周）</w:t>
            </w:r>
            <w:r>
              <w:rPr>
                <w:rFonts w:hint="eastAsia" w:ascii="宋体" w:hAnsi="宋体" w:cs="宋体"/>
                <w:sz w:val="24"/>
                <w:szCs w:val="24"/>
                <w:lang w:eastAsia="zh-CN"/>
              </w:rPr>
              <w:t>：完成功能测试、故障注入测试，以及数值计算、公开数据分析和机制比较实验，整理实验数据并撰写答辩稿，完成查重与AIGC检测。</w:t>
            </w:r>
          </w:p>
          <w:p w14:paraId="7F4D5ACB">
            <w:pPr>
              <w:spacing w:before="0" w:after="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2027.05—2027.06（第13—15周）</w:t>
            </w:r>
            <w:r>
              <w:rPr>
                <w:rFonts w:hint="eastAsia" w:ascii="宋体" w:hAnsi="宋体" w:cs="宋体"/>
                <w:sz w:val="24"/>
                <w:szCs w:val="24"/>
                <w:lang w:eastAsia="zh-CN"/>
              </w:rPr>
              <w:t>：</w:t>
            </w:r>
            <w:r>
              <w:rPr>
                <w:rFonts w:hint="eastAsia" w:ascii="宋体" w:hAnsi="宋体" w:eastAsia="宋体" w:cs="宋体"/>
                <w:sz w:val="24"/>
                <w:szCs w:val="24"/>
              </w:rPr>
              <w:t>评阅与答辩：根据评阅意见修改论文，参加毕业答辩，并按答辩小组意见完成修改。</w:t>
            </w:r>
          </w:p>
          <w:p w14:paraId="5E671DF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hint="eastAsia" w:ascii="Times New Roman" w:hAnsi="Times New Roman" w:eastAsia="宋体" w:cs="Times New Roman"/>
                <w:sz w:val="24"/>
                <w:szCs w:val="24"/>
              </w:rPr>
            </w:pPr>
            <w:r>
              <w:rPr>
                <w:rFonts w:hint="eastAsia" w:ascii="宋体" w:hAnsi="宋体" w:eastAsia="宋体" w:cs="宋体"/>
                <w:sz w:val="24"/>
                <w:szCs w:val="24"/>
              </w:rPr>
              <w:t>2027.06—2027.07（第16—19周）</w:t>
            </w:r>
            <w:r>
              <w:rPr>
                <w:rFonts w:hint="eastAsia" w:ascii="宋体" w:hAnsi="宋体" w:cs="宋体"/>
                <w:sz w:val="24"/>
                <w:szCs w:val="24"/>
                <w:lang w:eastAsia="zh-CN"/>
              </w:rPr>
              <w:t>：</w:t>
            </w:r>
            <w:r>
              <w:rPr>
                <w:rFonts w:hint="eastAsia" w:ascii="宋体" w:hAnsi="宋体" w:eastAsia="宋体" w:cs="宋体"/>
                <w:sz w:val="24"/>
                <w:szCs w:val="24"/>
              </w:rPr>
              <w:t>终稿提交与归档：完成论文终稿与资料袋整理归档，办理离校手续。</w:t>
            </w:r>
          </w:p>
          <w:p w14:paraId="7EE07DB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both"/>
              <w:textAlignment w:val="auto"/>
              <w:rPr>
                <w:rFonts w:hint="eastAsia" w:ascii="Times New Roman" w:hAnsi="Times New Roman" w:eastAsia="宋体" w:cs="Times New Roman"/>
                <w:sz w:val="24"/>
                <w:szCs w:val="24"/>
              </w:rPr>
            </w:pPr>
          </w:p>
          <w:p w14:paraId="3FD1A6C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left"/>
              <w:textAlignment w:val="auto"/>
              <w:rPr>
                <w:rFonts w:hint="eastAsia" w:ascii="Times New Roman" w:hAnsi="Times New Roman" w:eastAsia="宋体" w:cs="Times New Roman"/>
                <w:sz w:val="24"/>
                <w:szCs w:val="24"/>
              </w:rPr>
            </w:pPr>
          </w:p>
          <w:p w14:paraId="12C57BE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sz w:val="24"/>
                <w:szCs w:val="24"/>
              </w:rPr>
            </w:pPr>
          </w:p>
          <w:p w14:paraId="6BBDEEA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szCs w:val="24"/>
              </w:rPr>
            </w:pPr>
          </w:p>
          <w:p w14:paraId="1E1E18C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szCs w:val="24"/>
              </w:rPr>
            </w:pPr>
          </w:p>
          <w:p w14:paraId="1E197BC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szCs w:val="24"/>
              </w:rPr>
            </w:pPr>
          </w:p>
          <w:p w14:paraId="013FED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szCs w:val="24"/>
              </w:rPr>
            </w:pPr>
          </w:p>
        </w:tc>
      </w:tr>
      <w:tr w14:paraId="3A22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4" w:hRule="atLeast"/>
          <w:jc w:val="center"/>
        </w:trPr>
        <w:tc>
          <w:tcPr>
            <w:tcW w:w="1218" w:type="dxa"/>
            <w:vMerge w:val="continue"/>
          </w:tcPr>
          <w:p w14:paraId="7AC6504C"/>
        </w:tc>
        <w:tc>
          <w:tcPr>
            <w:tcW w:w="8240" w:type="dxa"/>
            <w:gridSpan w:val="6"/>
          </w:tcPr>
          <w:p w14:paraId="3ADFE497">
            <w:pPr>
              <w:rPr>
                <w:sz w:val="24"/>
              </w:rPr>
            </w:pPr>
            <w:r>
              <w:rPr>
                <w:rFonts w:hint="eastAsia"/>
                <w:sz w:val="24"/>
              </w:rPr>
              <w:t>文献资料目录：</w:t>
            </w:r>
          </w:p>
          <w:p w14:paraId="13526A74">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ALANSARI A, LUQMAN H. Large language models hallucination: a comprehensive survey[J/OL]. arXiv preprint arXiv:2510.06265, 2025.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"https://arxiv.org/abs/2510.06265"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https://arxiv.org/abs/2510.06265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1886A4DE">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BAJORIA S, RANJAN S, M A, et al. From language models to agenticAI: a survey of autonomous, action-enabled, and collaborative LLM agents[J/OL]. Cognitive Computation, 2026, 18(1): 103.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"https://doi.org/10.1007/s12559-026-10619-1"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https://doi.org/10.1007/s12559-026-10619-1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5814898E">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BROWN A, ROMAN M, DEVEREUX B. A systematic literature reviewof retrieval-augmented generation: techniques, metrics, and challenges[J/OL]. arXiv preprint arXiv:2508.06401, 2025.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"https://arxiv.org/abs/2508.06401"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https://arxiv.org/abs/2508.06401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6F668905">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GRIDACH M, NANAVATI J, ZINE EL ABIDINE K, et al. Agentic AI for scientific discovery: a survey of progress, challenges, and future directions[C/OL]//International Conference on Learning Representations. 2025.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"https://arxiv.org/abs/2503.08979"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https://arxiv.org/abs/2503.08979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1EB88E10">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LUO Z, YANG Z, XU Z, et al. LLM4SR: a survey on large language models for scientific research[J/OL]. arXiv preprint arXiv:2501.04306, 2025.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"https://arxiv.org/abs/2501.04306"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https://arxiv.org/abs/2501.04306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5B83CE8F">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SOUZA R, GUEROUDJI A, DEWITT S, et al. PROV-AGENT: unified provenance for tracking AI agent interactions in agentic workflows[C/OL]//IEEE International Conference on e-Science. 2025.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"https://arxiv.org/abs/2508.02866"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https://arxiv.org/abs/2508.02866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0823E6FE">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XI Z, CHEN W, GUO X, et al. The rise and potential of large language model based agents: a survey[J]. Science China Information Sciences, 2025, 68(2): 121101.</w:t>
            </w:r>
          </w:p>
          <w:p w14:paraId="6CBD146F">
            <w:pPr>
              <w:keepNext w:val="0"/>
              <w:keepLines w:val="0"/>
              <w:pageBreakBefore w:val="0"/>
              <w:widowControl w:val="0"/>
              <w:numPr>
                <w:ilvl w:val="0"/>
                <w:numId w:val="1"/>
              </w:numPr>
              <w:kinsoku w:val="0"/>
              <w:wordWrap w:val="0"/>
              <w:overflowPunct/>
              <w:topLinePunct w:val="0"/>
              <w:autoSpaceDE/>
              <w:autoSpaceDN/>
              <w:bidi w:val="0"/>
              <w:adjustRightInd/>
              <w:snapToGrid/>
              <w:spacing w:line="400" w:lineRule="exact"/>
              <w:ind w:left="0" w:firstLine="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ZHANG Y, LI Y, CUI L, et al. Siren's song in the AI ocean: a survey on hallucination in large language models[J/OL]. Computational Linguistics, 2025, 51(4): 1373-1418.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"https://doi.org/10.1162/coli.a.16"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https://doi.org/10.1162/coli.a.16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500B5E3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董益宏, 姜雪, 钱家如, 等. 基于大语言模型智能体的代码生成综述[J]. 软件学报, 2026, 37(8): 3089-3115.</w:t>
            </w:r>
          </w:p>
          <w:p w14:paraId="09483E6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0"/>
              <w:jc w:val="both"/>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李自拓, 孙建彬, 陈广州, 等. 大语言模型幻觉检测方法综述[J]. 计算机研究与发展, 2026, 63(1): 123-146.</w:t>
            </w:r>
          </w:p>
          <w:p w14:paraId="097A939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sz w:val="24"/>
                <w:szCs w:val="24"/>
              </w:rPr>
            </w:pPr>
          </w:p>
        </w:tc>
      </w:tr>
      <w:tr w14:paraId="1DC68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9" w:hRule="atLeast"/>
          <w:jc w:val="center"/>
        </w:trPr>
        <w:tc>
          <w:tcPr>
            <w:tcW w:w="1218" w:type="dxa"/>
            <w:vAlign w:val="center"/>
          </w:tcPr>
          <w:p w14:paraId="459E99EA">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指导教师意见</w:t>
            </w:r>
          </w:p>
        </w:tc>
        <w:tc>
          <w:tcPr>
            <w:tcW w:w="8240" w:type="dxa"/>
            <w:gridSpan w:val="6"/>
          </w:tcPr>
          <w:p w14:paraId="4D03854C">
            <w:pPr>
              <w:rPr>
                <w:rFonts w:ascii="Times New Roman" w:hAnsi="Times New Roman" w:eastAsia="宋体" w:cs="Times New Roman"/>
                <w:sz w:val="24"/>
                <w:szCs w:val="24"/>
              </w:rPr>
            </w:pPr>
          </w:p>
          <w:p w14:paraId="2C363525">
            <w:pPr>
              <w:rPr>
                <w:rFonts w:ascii="Times New Roman" w:hAnsi="Times New Roman" w:eastAsia="宋体" w:cs="Times New Roman"/>
                <w:sz w:val="24"/>
                <w:szCs w:val="24"/>
              </w:rPr>
            </w:pPr>
          </w:p>
          <w:p w14:paraId="67201BCD">
            <w:pPr>
              <w:rPr>
                <w:rFonts w:ascii="Times New Roman" w:hAnsi="Times New Roman" w:eastAsia="宋体" w:cs="Times New Roman"/>
                <w:sz w:val="24"/>
                <w:szCs w:val="24"/>
              </w:rPr>
            </w:pPr>
          </w:p>
          <w:p w14:paraId="03A04E17">
            <w:pPr>
              <w:rPr>
                <w:rFonts w:ascii="Times New Roman" w:hAnsi="Times New Roman" w:eastAsia="宋体" w:cs="Times New Roman"/>
                <w:sz w:val="24"/>
                <w:szCs w:val="24"/>
              </w:rPr>
            </w:pPr>
          </w:p>
          <w:p w14:paraId="52935A0B">
            <w:pPr>
              <w:rPr>
                <w:rFonts w:ascii="Times New Roman" w:hAnsi="Times New Roman" w:eastAsia="宋体" w:cs="Times New Roman"/>
                <w:sz w:val="24"/>
                <w:szCs w:val="24"/>
              </w:rPr>
            </w:pPr>
          </w:p>
          <w:p w14:paraId="0D52E404">
            <w:pPr>
              <w:rPr>
                <w:rFonts w:ascii="Times New Roman" w:hAnsi="Times New Roman" w:eastAsia="宋体" w:cs="Times New Roman"/>
                <w:sz w:val="24"/>
                <w:szCs w:val="24"/>
              </w:rPr>
            </w:pPr>
          </w:p>
          <w:p w14:paraId="453924CC">
            <w:pPr>
              <w:rPr>
                <w:rFonts w:ascii="Times New Roman" w:hAnsi="Times New Roman" w:eastAsia="宋体" w:cs="Times New Roman"/>
                <w:sz w:val="24"/>
                <w:szCs w:val="24"/>
              </w:rPr>
            </w:pPr>
          </w:p>
          <w:p w14:paraId="611F785F">
            <w:pPr>
              <w:rPr>
                <w:rFonts w:ascii="Times New Roman" w:hAnsi="Times New Roman" w:eastAsia="宋体" w:cs="Times New Roman"/>
                <w:sz w:val="24"/>
                <w:szCs w:val="24"/>
              </w:rPr>
            </w:pPr>
          </w:p>
          <w:p w14:paraId="3E75DF25">
            <w:pPr>
              <w:rPr>
                <w:rFonts w:ascii="Times New Roman" w:hAnsi="Times New Roman" w:eastAsia="宋体" w:cs="Times New Roman"/>
                <w:sz w:val="24"/>
                <w:szCs w:val="24"/>
              </w:rPr>
            </w:pPr>
          </w:p>
          <w:p w14:paraId="5CDE5E3E">
            <w:pPr>
              <w:rPr>
                <w:rFonts w:ascii="Times New Roman" w:hAnsi="Times New Roman" w:eastAsia="宋体" w:cs="Times New Roman"/>
                <w:sz w:val="24"/>
                <w:szCs w:val="24"/>
              </w:rPr>
            </w:pPr>
          </w:p>
          <w:p w14:paraId="2494F268">
            <w:pPr>
              <w:rPr>
                <w:rFonts w:ascii="Times New Roman" w:hAnsi="Times New Roman" w:eastAsia="宋体" w:cs="Times New Roman"/>
                <w:sz w:val="24"/>
                <w:szCs w:val="24"/>
              </w:rPr>
            </w:pPr>
          </w:p>
          <w:p w14:paraId="7A8F29A0">
            <w:pPr>
              <w:rPr>
                <w:rFonts w:ascii="Times New Roman" w:hAnsi="Times New Roman" w:eastAsia="宋体" w:cs="Times New Roman"/>
                <w:sz w:val="24"/>
                <w:szCs w:val="24"/>
              </w:rPr>
            </w:pPr>
          </w:p>
          <w:p w14:paraId="19BA1465">
            <w:pPr>
              <w:rPr>
                <w:rFonts w:ascii="Times New Roman" w:hAnsi="Times New Roman" w:eastAsia="宋体" w:cs="Times New Roman"/>
                <w:sz w:val="24"/>
                <w:szCs w:val="24"/>
              </w:rPr>
            </w:pPr>
          </w:p>
          <w:p w14:paraId="29302765">
            <w:pPr>
              <w:rPr>
                <w:rFonts w:ascii="Times New Roman" w:hAnsi="Times New Roman" w:eastAsia="宋体" w:cs="Times New Roman"/>
                <w:sz w:val="24"/>
                <w:szCs w:val="24"/>
              </w:rPr>
            </w:pPr>
          </w:p>
          <w:p w14:paraId="5536AB45">
            <w:pPr>
              <w:rPr>
                <w:rFonts w:ascii="Times New Roman" w:hAnsi="Times New Roman" w:eastAsia="宋体" w:cs="Times New Roman"/>
                <w:sz w:val="24"/>
                <w:szCs w:val="24"/>
              </w:rPr>
            </w:pPr>
          </w:p>
          <w:p w14:paraId="0BBAFCA0">
            <w:pPr>
              <w:rPr>
                <w:rFonts w:ascii="Times New Roman" w:hAnsi="Times New Roman" w:eastAsia="宋体" w:cs="Times New Roman"/>
                <w:sz w:val="24"/>
                <w:szCs w:val="24"/>
              </w:rPr>
            </w:pPr>
          </w:p>
          <w:p w14:paraId="659ECCA9">
            <w:pPr>
              <w:spacing w:line="40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指导教师：</w:t>
            </w:r>
            <w:r>
              <w:rPr>
                <w:rFonts w:ascii="Times New Roman" w:hAnsi="Times New Roman" w:eastAsia="宋体" w:cs="Times New Roman"/>
                <w:sz w:val="24"/>
                <w:szCs w:val="24"/>
              </w:rPr>
              <w:t xml:space="preserve"> </w:t>
            </w:r>
          </w:p>
          <w:p w14:paraId="7025BA55">
            <w:pPr>
              <w:spacing w:line="40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年   月   日</w:t>
            </w:r>
          </w:p>
          <w:p w14:paraId="57C48B44">
            <w:pPr>
              <w:rPr>
                <w:rFonts w:ascii="Times New Roman" w:hAnsi="Times New Roman" w:eastAsia="宋体" w:cs="Times New Roman"/>
                <w:sz w:val="24"/>
                <w:szCs w:val="24"/>
              </w:rPr>
            </w:pPr>
          </w:p>
        </w:tc>
      </w:tr>
      <w:tr w14:paraId="492D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62" w:hRule="atLeast"/>
          <w:jc w:val="center"/>
        </w:trPr>
        <w:tc>
          <w:tcPr>
            <w:tcW w:w="1218" w:type="dxa"/>
            <w:vAlign w:val="center"/>
          </w:tcPr>
          <w:p w14:paraId="5EFC0BFD">
            <w:pPr>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开题报告小组意见</w:t>
            </w:r>
          </w:p>
        </w:tc>
        <w:tc>
          <w:tcPr>
            <w:tcW w:w="8240" w:type="dxa"/>
            <w:gridSpan w:val="6"/>
          </w:tcPr>
          <w:p w14:paraId="398947DD">
            <w:pPr>
              <w:rPr>
                <w:rFonts w:ascii="Times New Roman" w:hAnsi="Times New Roman" w:eastAsia="宋体" w:cs="Times New Roman"/>
                <w:sz w:val="24"/>
                <w:szCs w:val="24"/>
              </w:rPr>
            </w:pPr>
          </w:p>
          <w:p w14:paraId="3D15805F">
            <w:pPr>
              <w:rPr>
                <w:rFonts w:ascii="Times New Roman" w:hAnsi="Times New Roman" w:eastAsia="宋体" w:cs="Times New Roman"/>
                <w:sz w:val="24"/>
                <w:szCs w:val="24"/>
              </w:rPr>
            </w:pPr>
          </w:p>
          <w:p w14:paraId="1DA77228">
            <w:pPr>
              <w:rPr>
                <w:rFonts w:ascii="Times New Roman" w:hAnsi="Times New Roman" w:eastAsia="宋体" w:cs="Times New Roman"/>
                <w:sz w:val="24"/>
                <w:szCs w:val="24"/>
              </w:rPr>
            </w:pPr>
          </w:p>
          <w:p w14:paraId="17CF6DA8">
            <w:pPr>
              <w:rPr>
                <w:rFonts w:ascii="Times New Roman" w:hAnsi="Times New Roman" w:eastAsia="宋体" w:cs="Times New Roman"/>
                <w:sz w:val="24"/>
                <w:szCs w:val="24"/>
              </w:rPr>
            </w:pPr>
          </w:p>
          <w:p w14:paraId="690F92B9">
            <w:pPr>
              <w:rPr>
                <w:rFonts w:ascii="Times New Roman" w:hAnsi="Times New Roman" w:eastAsia="宋体" w:cs="Times New Roman"/>
                <w:sz w:val="24"/>
                <w:szCs w:val="24"/>
              </w:rPr>
            </w:pPr>
          </w:p>
          <w:p w14:paraId="20B1759F">
            <w:pPr>
              <w:rPr>
                <w:rFonts w:ascii="Times New Roman" w:hAnsi="Times New Roman" w:eastAsia="宋体" w:cs="Times New Roman"/>
                <w:sz w:val="24"/>
                <w:szCs w:val="24"/>
              </w:rPr>
            </w:pPr>
          </w:p>
          <w:p w14:paraId="7BE40B93">
            <w:pPr>
              <w:rPr>
                <w:rFonts w:ascii="Times New Roman" w:hAnsi="Times New Roman" w:eastAsia="宋体" w:cs="Times New Roman"/>
                <w:sz w:val="24"/>
                <w:szCs w:val="24"/>
              </w:rPr>
            </w:pPr>
          </w:p>
          <w:p w14:paraId="4DC0FBFF">
            <w:pPr>
              <w:rPr>
                <w:rFonts w:ascii="Times New Roman" w:hAnsi="Times New Roman" w:eastAsia="宋体" w:cs="Times New Roman"/>
                <w:sz w:val="24"/>
                <w:szCs w:val="24"/>
              </w:rPr>
            </w:pPr>
          </w:p>
          <w:p w14:paraId="4FED1CEB">
            <w:pPr>
              <w:rPr>
                <w:rFonts w:ascii="Times New Roman" w:hAnsi="Times New Roman" w:eastAsia="宋体" w:cs="Times New Roman"/>
                <w:sz w:val="24"/>
                <w:szCs w:val="24"/>
              </w:rPr>
            </w:pPr>
          </w:p>
          <w:p w14:paraId="406A821C">
            <w:pPr>
              <w:rPr>
                <w:rFonts w:ascii="Times New Roman" w:hAnsi="Times New Roman" w:eastAsia="宋体" w:cs="Times New Roman"/>
                <w:sz w:val="24"/>
                <w:szCs w:val="24"/>
              </w:rPr>
            </w:pPr>
          </w:p>
          <w:p w14:paraId="6E8DEA15">
            <w:pPr>
              <w:rPr>
                <w:rFonts w:ascii="Times New Roman" w:hAnsi="Times New Roman" w:eastAsia="宋体" w:cs="Times New Roman"/>
                <w:sz w:val="24"/>
                <w:szCs w:val="24"/>
              </w:rPr>
            </w:pPr>
          </w:p>
          <w:p w14:paraId="5A77F090">
            <w:pPr>
              <w:rPr>
                <w:rFonts w:ascii="Times New Roman" w:hAnsi="Times New Roman" w:eastAsia="宋体" w:cs="Times New Roman"/>
                <w:sz w:val="24"/>
                <w:szCs w:val="24"/>
              </w:rPr>
            </w:pPr>
          </w:p>
          <w:p w14:paraId="2F700620">
            <w:pPr>
              <w:rPr>
                <w:rFonts w:ascii="Times New Roman" w:hAnsi="Times New Roman" w:eastAsia="宋体" w:cs="Times New Roman"/>
                <w:sz w:val="24"/>
                <w:szCs w:val="24"/>
              </w:rPr>
            </w:pPr>
          </w:p>
          <w:p w14:paraId="6B737EBC">
            <w:pPr>
              <w:rPr>
                <w:rFonts w:ascii="Times New Roman" w:hAnsi="Times New Roman" w:eastAsia="宋体" w:cs="Times New Roman"/>
                <w:sz w:val="24"/>
                <w:szCs w:val="24"/>
              </w:rPr>
            </w:pPr>
          </w:p>
          <w:p w14:paraId="392858AD">
            <w:pPr>
              <w:rPr>
                <w:rFonts w:ascii="Times New Roman" w:hAnsi="Times New Roman" w:eastAsia="宋体" w:cs="Times New Roman"/>
                <w:sz w:val="24"/>
                <w:szCs w:val="24"/>
              </w:rPr>
            </w:pPr>
          </w:p>
          <w:p w14:paraId="1211907B">
            <w:pPr>
              <w:rPr>
                <w:rFonts w:ascii="Times New Roman" w:hAnsi="Times New Roman" w:eastAsia="宋体" w:cs="Times New Roman"/>
                <w:sz w:val="24"/>
                <w:szCs w:val="24"/>
              </w:rPr>
            </w:pPr>
          </w:p>
          <w:p w14:paraId="1D989DD9">
            <w:pPr>
              <w:rPr>
                <w:rFonts w:ascii="Times New Roman" w:hAnsi="Times New Roman" w:eastAsia="宋体" w:cs="Times New Roman"/>
                <w:sz w:val="24"/>
                <w:szCs w:val="24"/>
              </w:rPr>
            </w:pPr>
          </w:p>
          <w:p w14:paraId="3FAA6293">
            <w:pPr>
              <w:rPr>
                <w:rFonts w:ascii="Times New Roman" w:hAnsi="Times New Roman" w:eastAsia="宋体" w:cs="Times New Roman"/>
                <w:sz w:val="24"/>
                <w:szCs w:val="24"/>
              </w:rPr>
            </w:pPr>
          </w:p>
          <w:p w14:paraId="0B0451C4">
            <w:pPr>
              <w:rPr>
                <w:rFonts w:ascii="Times New Roman" w:hAnsi="Times New Roman" w:eastAsia="宋体" w:cs="Times New Roman"/>
                <w:sz w:val="24"/>
                <w:szCs w:val="24"/>
              </w:rPr>
            </w:pPr>
          </w:p>
          <w:p w14:paraId="711D44C8">
            <w:pPr>
              <w:rPr>
                <w:rFonts w:ascii="Times New Roman" w:hAnsi="Times New Roman" w:eastAsia="宋体" w:cs="Times New Roman"/>
                <w:sz w:val="24"/>
                <w:szCs w:val="24"/>
              </w:rPr>
            </w:pPr>
          </w:p>
          <w:p w14:paraId="0FFB32A3">
            <w:pPr>
              <w:rPr>
                <w:rFonts w:ascii="Times New Roman" w:hAnsi="Times New Roman" w:eastAsia="宋体" w:cs="Times New Roman"/>
                <w:sz w:val="24"/>
                <w:szCs w:val="24"/>
              </w:rPr>
            </w:pPr>
          </w:p>
          <w:p w14:paraId="6F20E40C">
            <w:pPr>
              <w:ind w:firstLine="4080" w:firstLineChars="1700"/>
              <w:rPr>
                <w:rFonts w:ascii="Times New Roman" w:hAnsi="Times New Roman" w:eastAsia="宋体" w:cs="Times New Roman"/>
                <w:sz w:val="24"/>
                <w:szCs w:val="24"/>
              </w:rPr>
            </w:pPr>
            <w:r>
              <w:rPr>
                <w:rFonts w:hint="eastAsia" w:ascii="Times New Roman" w:hAnsi="Times New Roman" w:eastAsia="宋体" w:cs="Times New Roman"/>
                <w:sz w:val="24"/>
                <w:szCs w:val="24"/>
              </w:rPr>
              <w:t>组长：</w:t>
            </w:r>
            <w:r>
              <w:rPr>
                <w:rFonts w:ascii="Times New Roman" w:hAnsi="Times New Roman" w:eastAsia="宋体" w:cs="Times New Roman"/>
                <w:sz w:val="24"/>
                <w:szCs w:val="24"/>
              </w:rPr>
              <w:t xml:space="preserve"> </w:t>
            </w:r>
          </w:p>
          <w:p w14:paraId="2CE4844A">
            <w:pPr>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年   月   日</w:t>
            </w:r>
          </w:p>
        </w:tc>
      </w:tr>
    </w:tbl>
    <w:p w14:paraId="3C0C7CE4">
      <w:pPr>
        <w:spacing w:line="360" w:lineRule="auto"/>
        <w:jc w:val="center"/>
        <w:rPr>
          <w:rFonts w:hint="eastAsia" w:ascii="黑体" w:eastAsia="黑体" w:cs="Times New Roman"/>
          <w:b/>
          <w:bCs/>
          <w:sz w:val="32"/>
          <w:szCs w:val="32"/>
        </w:rPr>
      </w:pPr>
    </w:p>
    <w:p w14:paraId="522B9A58">
      <w:pPr>
        <w:spacing w:line="360" w:lineRule="auto"/>
        <w:jc w:val="center"/>
        <w:rPr>
          <w:rFonts w:ascii="Times New Roman" w:hAnsi="Times New Roman" w:eastAsia="宋体" w:cs="Times New Roman"/>
          <w:szCs w:val="24"/>
        </w:rPr>
      </w:pPr>
      <w:r>
        <w:rPr>
          <w:rFonts w:hint="eastAsia" w:ascii="黑体" w:eastAsia="黑体" w:cs="Times New Roman"/>
          <w:b/>
          <w:bCs/>
          <w:sz w:val="32"/>
          <w:szCs w:val="32"/>
        </w:rPr>
        <w:t>本科毕业论文开题报告表</w:t>
      </w:r>
      <w:r>
        <w:rPr>
          <w:rFonts w:hint="eastAsia" w:ascii="黑体" w:eastAsia="黑体" w:cs="Times New Roman"/>
          <w:b/>
          <w:bCs/>
          <w:szCs w:val="32"/>
        </w:rPr>
        <w:t>之</w:t>
      </w:r>
      <w:r>
        <w:rPr>
          <w:rFonts w:hint="eastAsia" w:ascii="黑体" w:eastAsia="黑体" w:cs="Times New Roman"/>
          <w:b/>
          <w:szCs w:val="24"/>
        </w:rPr>
        <w:t>大纲</w:t>
      </w:r>
      <w:r>
        <w:rPr>
          <w:rFonts w:hint="eastAsia" w:ascii="Times New Roman" w:hAnsi="Times New Roman" w:eastAsia="宋体" w:cs="Times New Roman"/>
          <w:szCs w:val="24"/>
        </w:rPr>
        <w:t>（中文）</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F4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2" w:hRule="atLeast"/>
        </w:trPr>
        <w:tc>
          <w:tcPr>
            <w:tcW w:w="9288" w:type="dxa"/>
            <w:tcBorders>
              <w:bottom w:val="single" w:color="auto" w:sz="4" w:space="0"/>
            </w:tcBorders>
          </w:tcPr>
          <w:p w14:paraId="61D08211">
            <w:pPr>
              <w:spacing w:line="400" w:lineRule="exact"/>
              <w:jc w:val="center"/>
              <w:rPr>
                <w:rFonts w:ascii="宋体" w:eastAsia="宋体" w:cs="宋体"/>
                <w:b/>
                <w:bCs/>
                <w:sz w:val="28"/>
                <w:szCs w:val="28"/>
              </w:rPr>
            </w:pPr>
          </w:p>
          <w:p w14:paraId="25DBF44A">
            <w:pPr>
              <w:keepNext w:val="0"/>
              <w:keepLines w:val="0"/>
              <w:pageBreakBefore w:val="0"/>
              <w:widowControl w:val="0"/>
              <w:kinsoku/>
              <w:wordWrap/>
              <w:overflowPunct/>
              <w:topLinePunct w:val="0"/>
              <w:autoSpaceDE/>
              <w:autoSpaceDN/>
              <w:bidi w:val="0"/>
              <w:adjustRightInd/>
              <w:snapToGrid/>
              <w:spacing w:before="0" w:after="0" w:line="400" w:lineRule="exact"/>
              <w:jc w:val="center"/>
              <w:textAlignment w:val="auto"/>
              <w:rPr>
                <w:rFonts w:hint="eastAsia" w:ascii="宋体" w:hAnsi="宋体" w:cs="宋体"/>
                <w:b/>
                <w:bCs/>
                <w:sz w:val="28"/>
                <w:szCs w:val="28"/>
              </w:rPr>
            </w:pPr>
            <w:r>
              <w:rPr>
                <w:rFonts w:ascii="Times New Roman" w:hAnsi="Times New Roman" w:eastAsia="宋体"/>
                <w:b/>
                <w:bCs/>
                <w:sz w:val="28"/>
                <w:szCs w:val="28"/>
              </w:rPr>
              <w:t>基于多源异构数据驱动的学术研究智能支持系统的设计与实现</w:t>
            </w:r>
          </w:p>
          <w:p w14:paraId="545AB14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一、 绪论</w:t>
            </w:r>
          </w:p>
          <w:p w14:paraId="2C20DFF5">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（一） 研究背景与意义</w:t>
            </w:r>
          </w:p>
          <w:p w14:paraId="6B00EA8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自主科研智能体的发展现状</w:t>
            </w:r>
          </w:p>
          <w:p w14:paraId="38A6C3D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科研结论可信性面临的挑战</w:t>
            </w:r>
          </w:p>
          <w:p w14:paraId="4BD0E28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本课题的研究意义</w:t>
            </w:r>
          </w:p>
          <w:p w14:paraId="0D71F799">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（二） 国内外研究现状</w:t>
            </w:r>
          </w:p>
          <w:p w14:paraId="2FF359B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自主科研系统研究现状</w:t>
            </w:r>
          </w:p>
          <w:p w14:paraId="5CA2A0C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检索增强生成与幻觉抑制研究现状</w:t>
            </w:r>
          </w:p>
          <w:p w14:paraId="061ACE4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数据溯源与证据链研究现状</w:t>
            </w:r>
          </w:p>
          <w:p w14:paraId="4AE6070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4. 现有研究的不足</w:t>
            </w:r>
          </w:p>
          <w:p w14:paraId="4725EC36">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（三） 研究内容与论文组织结构</w:t>
            </w:r>
          </w:p>
          <w:p w14:paraId="55C366F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主要研究内容</w:t>
            </w:r>
          </w:p>
          <w:p w14:paraId="761F319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论文组织结构</w:t>
            </w:r>
          </w:p>
          <w:p w14:paraId="3C9018B6">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二、 相关理论与技术基础</w:t>
            </w:r>
          </w:p>
          <w:p w14:paraId="6270F93F">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（一） 大语言模型与模型中立接入</w:t>
            </w:r>
          </w:p>
          <w:p w14:paraId="3847E8C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大语言模型基本原理</w:t>
            </w:r>
          </w:p>
          <w:p w14:paraId="32B0232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Harness 抽象与模型中立接入</w:t>
            </w:r>
          </w:p>
          <w:p w14:paraId="709CE06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结构化工具调用与权限审批</w:t>
            </w:r>
          </w:p>
          <w:p w14:paraId="783327DA">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rPr>
                <w:rFonts w:ascii="Times New Roman" w:hAnsi="Times New Roman" w:eastAsia="宋体"/>
                <w:sz w:val="24"/>
              </w:rPr>
            </w:pPr>
            <w:r>
              <w:rPr>
                <w:rFonts w:ascii="Times New Roman" w:hAnsi="Times New Roman" w:eastAsia="宋体"/>
                <w:sz w:val="24"/>
              </w:rPr>
              <w:t>（二） 科研过程约束与独立评估</w:t>
            </w:r>
          </w:p>
          <w:p w14:paraId="5DFCD32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1. </w:t>
            </w:r>
            <w:r>
              <w:rPr>
                <w:rFonts w:ascii="宋体" w:hAnsi="宋体" w:eastAsia="宋体" w:cs="宋体"/>
                <w:sz w:val="24"/>
                <w:szCs w:val="24"/>
              </w:rPr>
              <w:t>类型化科研对象与状态转换</w:t>
            </w:r>
          </w:p>
          <w:p w14:paraId="03F1033C">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2. </w:t>
            </w:r>
            <w:r>
              <w:rPr>
                <w:rFonts w:ascii="宋体" w:hAnsi="宋体" w:eastAsia="宋体" w:cs="宋体"/>
                <w:sz w:val="24"/>
                <w:szCs w:val="24"/>
              </w:rPr>
              <w:t>预先登记、设计冻结与一次性确认</w:t>
            </w:r>
          </w:p>
          <w:p w14:paraId="4E7B3BF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3. </w:t>
            </w:r>
            <w:r>
              <w:rPr>
                <w:rFonts w:ascii="宋体" w:hAnsi="宋体" w:eastAsia="宋体" w:cs="宋体"/>
                <w:sz w:val="24"/>
                <w:szCs w:val="24"/>
              </w:rPr>
              <w:t>独立计分及描述性结果与科学判断的区分</w:t>
            </w:r>
          </w:p>
          <w:p w14:paraId="6F4EA338">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（三） 数据溯源与可验证计算基础</w:t>
            </w:r>
          </w:p>
          <w:p w14:paraId="65FE32A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数据溯源模型与标准</w:t>
            </w:r>
          </w:p>
          <w:p w14:paraId="5971832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内容寻址与事件哈希链</w:t>
            </w:r>
          </w:p>
          <w:p w14:paraId="2B4C544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3. </w:t>
            </w:r>
            <w:r>
              <w:rPr>
                <w:rFonts w:ascii="宋体" w:hAnsi="宋体" w:eastAsia="宋体" w:cs="宋体"/>
                <w:sz w:val="24"/>
                <w:szCs w:val="24"/>
              </w:rPr>
              <w:t>事务、幂等与崩溃后对账</w:t>
            </w:r>
          </w:p>
          <w:p w14:paraId="30D6EA2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三、 系统需求分析与总体设计</w:t>
            </w:r>
          </w:p>
          <w:p w14:paraId="4BED2278">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（一） 需求分析</w:t>
            </w:r>
          </w:p>
          <w:p w14:paraId="39F3546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用户角色与使用场景</w:t>
            </w:r>
          </w:p>
          <w:p w14:paraId="1836066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功能需求</w:t>
            </w:r>
          </w:p>
          <w:p w14:paraId="7F62A77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非功能需求</w:t>
            </w:r>
          </w:p>
          <w:p w14:paraId="5CFA045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（二） 总体架构与分层设计</w:t>
            </w:r>
          </w:p>
          <w:p w14:paraId="0D25D88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控制平面、执行平面与证据平面分离</w:t>
            </w:r>
          </w:p>
          <w:p w14:paraId="52F3133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分层架构与核心模块划分</w:t>
            </w:r>
          </w:p>
          <w:p w14:paraId="090F417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模块间的数据流与接口</w:t>
            </w:r>
          </w:p>
          <w:p w14:paraId="7D83C74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（三） 核心数据模型与数据所有权</w:t>
            </w:r>
          </w:p>
          <w:p w14:paraId="68EE7029">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1. </w:t>
            </w:r>
            <w:r>
              <w:rPr>
                <w:rFonts w:ascii="宋体" w:hAnsi="宋体" w:eastAsia="宋体" w:cs="宋体"/>
                <w:sz w:val="24"/>
                <w:szCs w:val="24"/>
              </w:rPr>
              <w:t>科研对象标识与跨对象引用</w:t>
            </w:r>
          </w:p>
          <w:p w14:paraId="2D0FB7A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核心实体与状态版本规范</w:t>
            </w:r>
          </w:p>
          <w:p w14:paraId="1E74EF41">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数据所有权与写入权限边界</w:t>
            </w:r>
          </w:p>
          <w:p w14:paraId="0D784EF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 xml:space="preserve">（四） </w:t>
            </w:r>
            <w:r>
              <w:rPr>
                <w:rFonts w:ascii="宋体" w:hAnsi="宋体" w:eastAsia="宋体" w:cs="宋体"/>
                <w:sz w:val="24"/>
                <w:szCs w:val="24"/>
              </w:rPr>
              <w:t>域包扩展与领域通用性设计</w:t>
            </w:r>
          </w:p>
          <w:p w14:paraId="0CA5DFE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稳定插件接口的划分</w:t>
            </w:r>
          </w:p>
          <w:p w14:paraId="074B5970">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2. </w:t>
            </w:r>
            <w:r>
              <w:rPr>
                <w:rFonts w:ascii="宋体" w:hAnsi="宋体" w:eastAsia="宋体" w:cs="宋体"/>
                <w:sz w:val="24"/>
                <w:szCs w:val="24"/>
              </w:rPr>
              <w:t>域包的显式加载与能力声明</w:t>
            </w:r>
          </w:p>
          <w:p w14:paraId="04E520B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领域适配与可替换性</w:t>
            </w:r>
          </w:p>
          <w:p w14:paraId="0D7AB9D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四、 多源异构数据的统一接入与证据化</w:t>
            </w:r>
          </w:p>
          <w:p w14:paraId="31F30C1B">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 xml:space="preserve">（一） </w:t>
            </w:r>
            <w:r>
              <w:rPr>
                <w:rFonts w:ascii="宋体" w:hAnsi="宋体" w:eastAsia="宋体" w:cs="宋体"/>
                <w:sz w:val="24"/>
                <w:szCs w:val="24"/>
              </w:rPr>
              <w:t>三类异构驱动输入的登记</w:t>
            </w:r>
          </w:p>
          <w:p w14:paraId="4F1792F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1. </w:t>
            </w:r>
            <w:r>
              <w:rPr>
                <w:rFonts w:ascii="宋体" w:hAnsi="宋体" w:eastAsia="宋体" w:cs="宋体"/>
                <w:sz w:val="24"/>
                <w:szCs w:val="24"/>
              </w:rPr>
              <w:t>文献检索范围、来源与全文可达性</w:t>
            </w:r>
          </w:p>
          <w:p w14:paraId="12D3ADE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2. </w:t>
            </w:r>
            <w:r>
              <w:rPr>
                <w:rFonts w:ascii="宋体" w:hAnsi="宋体" w:eastAsia="宋体" w:cs="宋体"/>
                <w:sz w:val="24"/>
                <w:szCs w:val="24"/>
              </w:rPr>
              <w:t>代码修订与内容摘要</w:t>
            </w:r>
          </w:p>
          <w:p w14:paraId="67A35AC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3. </w:t>
            </w:r>
            <w:r>
              <w:rPr>
                <w:rFonts w:ascii="宋体" w:hAnsi="宋体" w:eastAsia="宋体" w:cs="宋体"/>
                <w:sz w:val="24"/>
                <w:szCs w:val="24"/>
              </w:rPr>
              <w:t>实验产物与研究事件</w:t>
            </w:r>
          </w:p>
          <w:p w14:paraId="0033C7F3">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 xml:space="preserve">（二） </w:t>
            </w:r>
            <w:r>
              <w:rPr>
                <w:rFonts w:ascii="宋体" w:hAnsi="宋体" w:eastAsia="宋体" w:cs="宋体"/>
                <w:sz w:val="24"/>
                <w:szCs w:val="24"/>
              </w:rPr>
              <w:t>分源登记规范与未验证状态</w:t>
            </w:r>
          </w:p>
          <w:p w14:paraId="0F45232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1. </w:t>
            </w:r>
            <w:r>
              <w:rPr>
                <w:rFonts w:ascii="宋体" w:hAnsi="宋体" w:eastAsia="宋体" w:cs="宋体"/>
                <w:sz w:val="24"/>
                <w:szCs w:val="24"/>
              </w:rPr>
              <w:t>分源标识与内容摘要</w:t>
            </w:r>
          </w:p>
          <w:p w14:paraId="41C9BFDD">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2. </w:t>
            </w:r>
            <w:r>
              <w:rPr>
                <w:rFonts w:ascii="宋体" w:hAnsi="宋体" w:eastAsia="宋体" w:cs="宋体"/>
                <w:sz w:val="24"/>
                <w:szCs w:val="24"/>
              </w:rPr>
              <w:t>输入角色与绑定关系</w:t>
            </w:r>
          </w:p>
          <w:p w14:paraId="5C6FBE5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3. </w:t>
            </w:r>
            <w:r>
              <w:rPr>
                <w:rFonts w:ascii="宋体" w:hAnsi="宋体" w:eastAsia="宋体" w:cs="宋体"/>
                <w:sz w:val="24"/>
                <w:szCs w:val="24"/>
              </w:rPr>
              <w:t>全文可达性与未验证状态</w:t>
            </w:r>
          </w:p>
          <w:p w14:paraId="2AFB084D">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（三） 证据化与来源可信性</w:t>
            </w:r>
          </w:p>
          <w:p w14:paraId="01B46F0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工件内容寻址与摘要校验</w:t>
            </w:r>
          </w:p>
          <w:p w14:paraId="4B400CA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来源登记与引用真实性校验</w:t>
            </w:r>
          </w:p>
          <w:p w14:paraId="20C7F8B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采集限制与覆盖范围声明</w:t>
            </w:r>
          </w:p>
          <w:p w14:paraId="29EE8FF5">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五、 可验证科研内核与科研治理</w:t>
            </w:r>
          </w:p>
          <w:p w14:paraId="3ACA7255">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（一） 科研对象与状态机</w:t>
            </w:r>
          </w:p>
          <w:p w14:paraId="0EFCA3C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科研对象与生命周期</w:t>
            </w:r>
          </w:p>
          <w:p w14:paraId="528BD21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状态转换与不变量校验</w:t>
            </w:r>
          </w:p>
          <w:p w14:paraId="6BE04ACC">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命令总线与幂等提交</w:t>
            </w:r>
          </w:p>
          <w:p w14:paraId="2D906688">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（二） 实验设计冻结与不可变修订</w:t>
            </w:r>
          </w:p>
          <w:p w14:paraId="781F698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实验设计与冻结合同</w:t>
            </w:r>
          </w:p>
          <w:p w14:paraId="5ADB01D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预算账本与受限资源消费</w:t>
            </w:r>
          </w:p>
          <w:p w14:paraId="4610A28C">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不可变修订与后继版本</w:t>
            </w:r>
          </w:p>
          <w:p w14:paraId="04B3FA64">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（三） 权限分离与自主编排</w:t>
            </w:r>
          </w:p>
          <w:p w14:paraId="4EB9406A">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角色职责与写入权限分离</w:t>
            </w:r>
          </w:p>
          <w:p w14:paraId="4B092BC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长期任务的编排与人工审批</w:t>
            </w:r>
          </w:p>
          <w:p w14:paraId="22432A0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失败、取消与补偿语义</w:t>
            </w:r>
          </w:p>
          <w:p w14:paraId="462BE960">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（四） 一次性确认与声明生成</w:t>
            </w:r>
          </w:p>
          <w:p w14:paraId="2DBDF98E">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确认合同与受限资源消费</w:t>
            </w:r>
          </w:p>
          <w:p w14:paraId="4AF19D1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搜索阶段与确认阶段的隔离</w:t>
            </w:r>
          </w:p>
          <w:p w14:paraId="1913FDB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声明生成与适用范围限制</w:t>
            </w:r>
          </w:p>
          <w:p w14:paraId="22CD36A8">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六、 可信执行、独立评估与可复现性</w:t>
            </w:r>
          </w:p>
          <w:p w14:paraId="064D0D07">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（一） 隔离执行与信任等级</w:t>
            </w:r>
          </w:p>
          <w:p w14:paraId="6136488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不可变源码与输入快照</w:t>
            </w:r>
          </w:p>
          <w:p w14:paraId="6D75831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沙箱 Worker 与资源限制</w:t>
            </w:r>
          </w:p>
          <w:p w14:paraId="6B805E70">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信任等级与隔离能力如实上报</w:t>
            </w:r>
          </w:p>
          <w:p w14:paraId="1F177D13">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（二） 独立评估与证据绑定</w:t>
            </w:r>
          </w:p>
          <w:p w14:paraId="22BD4CB9">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独立评估器与评分回执</w:t>
            </w:r>
          </w:p>
          <w:p w14:paraId="442A4A9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Claim–Evidence 证据图与引用校验</w:t>
            </w:r>
          </w:p>
          <w:p w14:paraId="5C38A47A">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事件链完整性与篡改检测</w:t>
            </w:r>
          </w:p>
          <w:p w14:paraId="1FF9064D">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 xml:space="preserve">（三） </w:t>
            </w:r>
            <w:r>
              <w:rPr>
                <w:rFonts w:ascii="宋体" w:hAnsi="宋体" w:eastAsia="宋体" w:cs="宋体"/>
                <w:sz w:val="24"/>
                <w:szCs w:val="24"/>
              </w:rPr>
              <w:t>复核记录与能力边界</w:t>
            </w:r>
          </w:p>
          <w:p w14:paraId="1A378716">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1. </w:t>
            </w:r>
            <w:r>
              <w:rPr>
                <w:rFonts w:ascii="宋体" w:hAnsi="宋体" w:eastAsia="宋体" w:cs="宋体"/>
                <w:sz w:val="24"/>
                <w:szCs w:val="24"/>
              </w:rPr>
              <w:t>复核记录的组成与完整性校验</w:t>
            </w:r>
          </w:p>
          <w:p w14:paraId="5E396D82">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2. </w:t>
            </w:r>
            <w:r>
              <w:rPr>
                <w:rFonts w:ascii="宋体" w:hAnsi="宋体" w:eastAsia="宋体" w:cs="宋体"/>
                <w:sz w:val="24"/>
                <w:szCs w:val="24"/>
              </w:rPr>
              <w:t>已登记指标的复核</w:t>
            </w:r>
          </w:p>
          <w:p w14:paraId="0232B0C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3. </w:t>
            </w:r>
            <w:r>
              <w:rPr>
                <w:rFonts w:ascii="宋体" w:hAnsi="宋体" w:eastAsia="宋体" w:cs="宋体"/>
                <w:sz w:val="24"/>
                <w:szCs w:val="24"/>
              </w:rPr>
              <w:t>系统能力边界与不保证事项</w:t>
            </w:r>
          </w:p>
          <w:p w14:paraId="401DB064">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七、 系统实现与测试</w:t>
            </w:r>
          </w:p>
          <w:p w14:paraId="3B04C1A9">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（一） 系统实现与运行部署</w:t>
            </w:r>
          </w:p>
          <w:p w14:paraId="70DA3CD5">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技术选型与开发环境</w:t>
            </w:r>
          </w:p>
          <w:p w14:paraId="4C2FB00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模块实现与关键接口</w:t>
            </w:r>
          </w:p>
          <w:p w14:paraId="21A1BCF0">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部署方式与运行流程</w:t>
            </w:r>
          </w:p>
          <w:p w14:paraId="6DE3F86F">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（二） 功能测试与故障注入测试</w:t>
            </w:r>
          </w:p>
          <w:p w14:paraId="03BA2CD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功能测试用例与结果</w:t>
            </w:r>
          </w:p>
          <w:p w14:paraId="3930F2C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幂等、并发与崩溃恢复测试</w:t>
            </w:r>
          </w:p>
          <w:p w14:paraId="26F30413">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3. 路径、权限与恶意工件安全测试</w:t>
            </w:r>
          </w:p>
          <w:p w14:paraId="153BDA50">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 xml:space="preserve">（三） </w:t>
            </w:r>
            <w:r>
              <w:rPr>
                <w:rFonts w:ascii="宋体" w:hAnsi="宋体" w:eastAsia="宋体" w:cs="宋体"/>
                <w:sz w:val="24"/>
                <w:szCs w:val="24"/>
              </w:rPr>
              <w:t>多源驱动验证实验与结果分析</w:t>
            </w:r>
          </w:p>
          <w:p w14:paraId="6C3D69A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实验设置与评测指标</w:t>
            </w:r>
          </w:p>
          <w:p w14:paraId="5A38E708">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2. </w:t>
            </w:r>
            <w:r>
              <w:rPr>
                <w:rFonts w:ascii="宋体" w:hAnsi="宋体" w:eastAsia="宋体" w:cs="宋体"/>
                <w:sz w:val="24"/>
                <w:szCs w:val="24"/>
              </w:rPr>
              <w:t>协议遵守与证据绑定方面的对照</w:t>
            </w:r>
          </w:p>
          <w:p w14:paraId="4C8FA2D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3. </w:t>
            </w:r>
            <w:r>
              <w:rPr>
                <w:rFonts w:ascii="宋体" w:hAnsi="宋体" w:eastAsia="宋体" w:cs="宋体"/>
                <w:sz w:val="24"/>
                <w:szCs w:val="24"/>
              </w:rPr>
              <w:t>数值计算、公开数据分析与机制比较</w:t>
            </w:r>
          </w:p>
          <w:p w14:paraId="48AC664B">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 xml:space="preserve">4. </w:t>
            </w:r>
            <w:r>
              <w:rPr>
                <w:rFonts w:ascii="宋体" w:hAnsi="宋体" w:eastAsia="宋体" w:cs="宋体"/>
                <w:sz w:val="24"/>
                <w:szCs w:val="24"/>
              </w:rPr>
              <w:t>结果分析与必要的组件消融</w:t>
            </w:r>
            <w:bookmarkStart w:id="0" w:name="_GoBack"/>
            <w:bookmarkEnd w:id="0"/>
          </w:p>
          <w:p w14:paraId="1AE1F237">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八、 总结与展望</w:t>
            </w:r>
          </w:p>
          <w:p w14:paraId="23E3A0D2">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（一） 工作总结</w:t>
            </w:r>
          </w:p>
          <w:p w14:paraId="71AD0D47">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主要研究工作总结</w:t>
            </w:r>
          </w:p>
          <w:p w14:paraId="4980E201">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主要创新点</w:t>
            </w:r>
          </w:p>
          <w:p w14:paraId="5A68D124">
            <w:pPr>
              <w:keepNext w:val="0"/>
              <w:keepLines w:val="0"/>
              <w:pageBreakBefore w:val="0"/>
              <w:widowControl w:val="0"/>
              <w:kinsoku/>
              <w:wordWrap/>
              <w:overflowPunct/>
              <w:topLinePunct w:val="0"/>
              <w:autoSpaceDE/>
              <w:autoSpaceDN/>
              <w:bidi w:val="0"/>
              <w:adjustRightInd/>
              <w:snapToGrid/>
              <w:spacing w:before="0" w:after="0" w:line="400" w:lineRule="exact"/>
              <w:ind w:firstLine="480" w:firstLineChars="200"/>
              <w:textAlignment w:val="auto"/>
            </w:pPr>
            <w:r>
              <w:rPr>
                <w:rFonts w:ascii="Times New Roman" w:hAnsi="Times New Roman" w:eastAsia="宋体"/>
                <w:sz w:val="24"/>
              </w:rPr>
              <w:t>（二） 不足与展望</w:t>
            </w:r>
          </w:p>
          <w:p w14:paraId="321BFEC4">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1. 存在的不足</w:t>
            </w:r>
          </w:p>
          <w:p w14:paraId="0CFDA4DF">
            <w:pPr>
              <w:keepNext w:val="0"/>
              <w:keepLines w:val="0"/>
              <w:pageBreakBefore w:val="0"/>
              <w:widowControl w:val="0"/>
              <w:kinsoku/>
              <w:wordWrap/>
              <w:overflowPunct/>
              <w:topLinePunct w:val="0"/>
              <w:autoSpaceDE/>
              <w:autoSpaceDN/>
              <w:bidi w:val="0"/>
              <w:adjustRightInd/>
              <w:snapToGrid/>
              <w:spacing w:before="0" w:after="0" w:line="400" w:lineRule="exact"/>
              <w:ind w:firstLine="960" w:firstLineChars="400"/>
              <w:textAlignment w:val="auto"/>
            </w:pPr>
            <w:r>
              <w:rPr>
                <w:rFonts w:ascii="Times New Roman" w:hAnsi="Times New Roman" w:eastAsia="宋体"/>
                <w:sz w:val="24"/>
              </w:rPr>
              <w:t>2. 后续工作展望</w:t>
            </w:r>
          </w:p>
          <w:p w14:paraId="644980B2">
            <w:pPr>
              <w:keepNext w:val="0"/>
              <w:keepLines w:val="0"/>
              <w:pageBreakBefore w:val="0"/>
              <w:widowControl w:val="0"/>
              <w:kinsoku/>
              <w:wordWrap/>
              <w:overflowPunct/>
              <w:topLinePunct w:val="0"/>
              <w:autoSpaceDE/>
              <w:autoSpaceDN/>
              <w:bidi w:val="0"/>
              <w:adjustRightInd/>
              <w:snapToGrid/>
              <w:spacing w:before="0" w:after="0" w:line="400" w:lineRule="exact"/>
              <w:textAlignment w:val="auto"/>
            </w:pPr>
            <w:r>
              <w:rPr>
                <w:rFonts w:ascii="Times New Roman" w:hAnsi="Times New Roman" w:eastAsia="宋体"/>
                <w:sz w:val="24"/>
              </w:rPr>
              <w:t>参考文献</w:t>
            </w:r>
          </w:p>
          <w:p w14:paraId="78C4B16E">
            <w:pPr>
              <w:spacing w:line="360" w:lineRule="exact"/>
              <w:rPr>
                <w:rFonts w:ascii="宋体" w:eastAsia="宋体" w:cs="Times New Roman"/>
                <w:sz w:val="24"/>
                <w:szCs w:val="24"/>
              </w:rPr>
            </w:pPr>
            <w:r>
              <w:rPr>
                <w:rFonts w:ascii="Times New Roman" w:hAnsi="Times New Roman" w:eastAsia="宋体"/>
                <w:sz w:val="24"/>
              </w:rPr>
              <w:t>致谢</w:t>
            </w:r>
          </w:p>
        </w:tc>
      </w:tr>
    </w:tbl>
    <w:p w14:paraId="22FB933B">
      <w:pPr>
        <w:bidi w:val="0"/>
        <w:jc w:val="left"/>
        <w:rPr>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suff w:val="space"/>
      <w:lvlText w:val="[%1]"/>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HorizontalSpacing w:val="120"/>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growAutofit/>
    <w:useFELayout/>
    <w:doNotUseIndentAsNumberingTabStop/>
    <w:compatSetting w:name="compatibilityMode" w:uri="http://schemas.microsoft.com/office/word" w:val="14"/>
  </w:compat>
  <w:rsids>
    <w:rsidRoot w:val="00000000"/>
    <w:rsid w:val="08956E09"/>
    <w:rsid w:val="10120F66"/>
    <w:rsid w:val="11620195"/>
    <w:rsid w:val="1A4A5A62"/>
    <w:rsid w:val="1B2D682E"/>
    <w:rsid w:val="34BB0957"/>
    <w:rsid w:val="6CE150BD"/>
    <w:rsid w:val="6FE8546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宋体" w:cs="Arial"/>
      <w:kern w:val="2"/>
      <w:sz w:val="24"/>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spacing w:before="0" w:beforeAutospacing="1" w:after="0" w:afterAutospacing="1"/>
      <w:jc w:val="left"/>
      <w:outlineLvl w:val="2"/>
    </w:pPr>
    <w:rPr>
      <w:rFonts w:ascii="宋体" w:eastAsia="宋体" w:cs="宋体"/>
      <w:b/>
      <w:bCs/>
      <w:kern w:val="0"/>
      <w:sz w:val="27"/>
      <w:szCs w:val="27"/>
      <w:lang w:val="en-US" w:eastAsia="zh-CN"/>
    </w:rPr>
  </w:style>
  <w:style w:type="character" w:default="1" w:styleId="12">
    <w:name w:val="Default Paragraph Font"/>
    <w:qFormat/>
    <w:uiPriority w:val="0"/>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rPr>
      <w:rFonts w:ascii="Times New Roman" w:hAnsi="Times New Roman" w:eastAsia="宋体" w:cs="Times New Roman"/>
      <w:szCs w:val="24"/>
    </w:rPr>
  </w:style>
  <w:style w:type="paragraph" w:styleId="6">
    <w:name w:val="Balloon Text"/>
    <w:basedOn w:val="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rPr>
  </w:style>
  <w:style w:type="paragraph" w:styleId="10">
    <w:name w:val="annotation subject"/>
    <w:basedOn w:val="5"/>
    <w:next w:val="5"/>
    <w:uiPriority w:val="0"/>
    <w:rPr>
      <w:rFonts w:ascii="等线" w:eastAsia="等线" w:cs="Arial"/>
      <w:b/>
      <w:bCs/>
      <w:szCs w:val="22"/>
    </w:rPr>
  </w:style>
  <w:style w:type="character" w:styleId="13">
    <w:name w:val="Strong"/>
    <w:basedOn w:val="12"/>
    <w:qFormat/>
    <w:uiPriority w:val="0"/>
    <w:rPr>
      <w:b/>
    </w:rPr>
  </w:style>
  <w:style w:type="character" w:styleId="14">
    <w:name w:val="annotation reference"/>
    <w:basedOn w:val="12"/>
    <w:qFormat/>
    <w:uiPriority w:val="0"/>
    <w:rPr>
      <w:sz w:val="21"/>
      <w:szCs w:val="21"/>
    </w:rPr>
  </w:style>
  <w:style w:type="paragraph" w:customStyle="1" w:styleId="15">
    <w:name w:val="List Paragraph"/>
    <w:basedOn w:val="1"/>
    <w:uiPriority w:val="0"/>
    <w:pPr>
      <w:ind w:firstLine="20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9</Pages>
  <Words>3012</Words>
  <Characters>4579</Characters>
  <Lines>274</Lines>
  <Paragraphs>133</Paragraphs>
  <TotalTime>14</TotalTime>
  <ScaleCrop>false</ScaleCrop>
  <LinksUpToDate>false</LinksUpToDate>
  <CharactersWithSpaces>5046</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2026-09-22T08:10:00Z</dcterms:created>
  <dc:creator>admin</dc:creator>
  <cp:lastModifiedBy>森屿海巷@</cp:lastModifiedBy>
  <dcterms:modified xsi:type="dcterms:W3CDTF">2026-10-10T09:17:52Z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eyJoZGlkIjoiNTVjNjM1OGIwYjY0MzQ0OGIwOTZjZWQyOTQxMTU3Y2EiLCJ1c2VySWQiOiI1MzU4OTExMDkifQ==</vt:lpwstr>
  </property>
  <property fmtid="{D5CDD505-2E9C-101B-9397-08002B2CF9AE}" pid="3" name="KSOProductBuildVer">
    <vt:lpwstr>2052-12.1.0.28505</vt:lpwstr>
  </property>
  <property fmtid="{D5CDD505-2E9C-101B-9397-08002B2CF9AE}" pid="4" name="ICV">
    <vt:lpwstr>1E7D193BFFBC4F13A613AB0F0C343B28_13</vt:lpwstr>
  </property>
</Properties>
</file>