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Times New Roman" w:cs="Times New Roman" w:eastAsia="Times New Roman" w:hAnsi="Times New Roman"/>
          <w:b/>
          <w:bCs/>
          <w:color w:val="000000"/>
          <w:sz w:val="32"/>
          <w:szCs w:val="32"/>
        </w:rPr>
        <w:t xml:space="preserve">PROVISIONAL PATENT APPLICATION</w:t>
      </w:r>
    </w:p>
    <w:p>
      <w:pPr>
        <w:spacing w:before="400"/>
        <w:jc w:val="center"/>
      </w:pPr>
      <w:r>
        <w:rPr>
          <w:rFonts w:ascii="Times New Roman" w:cs="Times New Roman" w:eastAsia="Times New Roman" w:hAnsi="Times New Roman"/>
          <w:color w:val="000000"/>
          <w:sz w:val="24"/>
          <w:szCs w:val="24"/>
        </w:rPr>
        <w:t xml:space="preserve">UNDER 35 U.S.C. §111(b)</w:t>
      </w:r>
    </w:p>
    <w:p>
      <w:pPr>
        <w:spacing w:before="600"/>
        <w:jc w:val="center"/>
      </w:pPr>
      <w:r>
        <w:rPr>
          <w:rFonts w:ascii="Times New Roman" w:cs="Times New Roman" w:eastAsia="Times New Roman" w:hAnsi="Times New Roman"/>
          <w:b/>
          <w:bCs/>
          <w:color w:val="000000"/>
          <w:sz w:val="28"/>
          <w:szCs w:val="28"/>
        </w:rPr>
        <w:t xml:space="preserve">SYSTEM AND METHOD FOR MULTI-MODAL EMOTIONAL INTELLIGENCE
WITH CONTINUOUS ADAPTIVE PROFILING AND
PROACTIVE WELLNESS INTERVENTION</w:t>
      </w:r>
    </w:p>
    <w:p>
      <w:pPr>
        <w:spacing w:before="600"/>
        <w:jc w:val="center"/>
      </w:pPr>
      <w:r>
        <w:rPr>
          <w:rFonts w:ascii="Times New Roman" w:cs="Times New Roman" w:eastAsia="Times New Roman" w:hAnsi="Times New Roman"/>
          <w:color w:val="000000"/>
          <w:sz w:val="24"/>
          <w:szCs w:val="24"/>
        </w:rPr>
        <w:t xml:space="preserve">Inventor: Tomer Porat</w:t>
      </w:r>
    </w:p>
    <w:p>
      <w:pPr>
        <w:spacing w:before="200"/>
        <w:jc w:val="center"/>
      </w:pPr>
      <w:r>
        <w:rPr>
          <w:rFonts w:ascii="Times New Roman" w:cs="Times New Roman" w:eastAsia="Times New Roman" w:hAnsi="Times New Roman"/>
          <w:color w:val="000000"/>
          <w:sz w:val="24"/>
          <w:szCs w:val="24"/>
        </w:rPr>
        <w:t xml:space="preserve">Assignee: MIRA Technologies Ltd.</w:t>
      </w:r>
    </w:p>
    <w:p>
      <w:pPr>
        <w:spacing w:before="200"/>
        <w:jc w:val="center"/>
      </w:pPr>
      <w:r>
        <w:rPr>
          <w:rFonts w:ascii="Times New Roman" w:cs="Times New Roman" w:eastAsia="Times New Roman" w:hAnsi="Times New Roman"/>
          <w:color w:val="000000"/>
          <w:sz w:val="24"/>
          <w:szCs w:val="24"/>
        </w:rPr>
        <w:t xml:space="preserve">Date: June 2026</w:t>
      </w:r>
    </w:p>
    <w:p>
      <w:pPr>
        <w:spacing w:before="400"/>
        <w:jc w:val="center"/>
      </w:pPr>
      <w:r>
        <w:rPr>
          <w:rFonts w:ascii="Times New Roman" w:cs="Times New Roman" w:eastAsia="Times New Roman" w:hAnsi="Times New Roman"/>
          <w:b/>
          <w:bCs/>
          <w:color w:val="CC0000"/>
          <w:sz w:val="28"/>
          <w:szCs w:val="28"/>
        </w:rPr>
        <w:t xml:space="preserve">CONFIDENTIAL</w:t>
      </w:r>
    </w:p>
    <w:p>
      <w:r>
        <w:br w:type="page"/>
      </w:r>
    </w:p>
    <w:p>
      <w:pPr>
        <w:pStyle w:val="Heading1"/>
        <w:spacing w:after="200" w:before="360"/>
      </w:pPr>
      <w:r>
        <w:rPr>
          <w:rFonts w:ascii="Times New Roman" w:cs="Times New Roman" w:eastAsia="Times New Roman" w:hAnsi="Times New Roman"/>
          <w:b/>
          <w:bCs/>
          <w:color w:val="000000"/>
          <w:sz w:val="28"/>
          <w:szCs w:val="28"/>
        </w:rPr>
        <w:t xml:space="preserve">SPECIFICATION</w:t>
      </w:r>
    </w:p>
    <w:p>
      <w:pPr>
        <w:pStyle w:val="Heading2"/>
        <w:spacing w:after="160" w:before="280"/>
      </w:pPr>
      <w:r>
        <w:rPr>
          <w:rFonts w:ascii="Times New Roman" w:cs="Times New Roman" w:eastAsia="Times New Roman" w:hAnsi="Times New Roman"/>
          <w:b/>
          <w:bCs/>
          <w:color w:val="000000"/>
          <w:sz w:val="24"/>
          <w:szCs w:val="24"/>
        </w:rPr>
        <w:t xml:space="preserve">TITLE OF THE INVENTION</w:t>
      </w:r>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System and Method for Multi-Modal Emotional Intelligence with Continuous Adaptive Profiling and Proactive Wellness Intervention</w:t>
      </w:r>
    </w:p>
    <w:p>
      <w:pPr>
        <w:pStyle w:val="Heading2"/>
        <w:spacing w:after="160" w:before="280"/>
      </w:pPr>
      <w:r>
        <w:rPr>
          <w:rFonts w:ascii="Times New Roman" w:cs="Times New Roman" w:eastAsia="Times New Roman" w:hAnsi="Times New Roman"/>
          <w:b/>
          <w:bCs/>
          <w:color w:val="000000"/>
          <w:sz w:val="24"/>
          <w:szCs w:val="24"/>
        </w:rPr>
        <w:t xml:space="preserve">CROSS-REFERENCE TO RELATED APPLICATIONS</w:t>
      </w:r>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This application is a provisional application filed under 35 U.S.C. §111(b). The applicant reserves the right to file one or more nonprovisional applications claiming priority to this provisional application within 12 months of the filing date.</w:t>
      </w:r>
    </w:p>
    <w:p>
      <w:pPr>
        <w:pStyle w:val="Heading2"/>
        <w:spacing w:after="160" w:before="280"/>
      </w:pPr>
      <w:r>
        <w:rPr>
          <w:rFonts w:ascii="Times New Roman" w:cs="Times New Roman" w:eastAsia="Times New Roman" w:hAnsi="Times New Roman"/>
          <w:b/>
          <w:bCs/>
          <w:color w:val="000000"/>
          <w:sz w:val="24"/>
          <w:szCs w:val="24"/>
        </w:rPr>
        <w:t xml:space="preserve">FIELD OF THE INVENTION</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present invention relates generally to artificial intelligence systems for personal wellness and emotional support, and more specifically to a multi-modal AI system that combines real-time facial analysis, paralinguistic voice analysis, persistent behavioral memory, and proactive state detection to create a continuously evolving emotional intelligence profile ("Emotional Fingerprint") for each user, enabling personalized wellness interventions and adaptive emotional support.</w:t>
      </w:r>
    </w:p>
    <w:p>
      <w:pPr>
        <w:pStyle w:val="Heading2"/>
        <w:spacing w:after="160" w:before="280"/>
      </w:pPr>
      <w:r>
        <w:rPr>
          <w:rFonts w:ascii="Times New Roman" w:cs="Times New Roman" w:eastAsia="Times New Roman" w:hAnsi="Times New Roman"/>
          <w:b/>
          <w:bCs/>
          <w:color w:val="000000"/>
          <w:sz w:val="24"/>
          <w:szCs w:val="24"/>
        </w:rPr>
        <w:t xml:space="preserve">BACKGROUND OF THE INVENTION</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Existing AI companion and wellness applications suffer from several fundamental limitations:</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First, current AI companions (such as Replika, Character.AI, Pi, Nomi, and similar products) operate primarily or exclusively through text and/or basic voice interaction. None combine real-time facial micro-expression analysis, paralinguistic voice emotion detection, and persistent cross-session behavioral memory into a unified emotional understanding system. Users must explicitly state their emotional condition; the system cannot independently perceive emotional states through visual and auditory observation.</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Second, existing systems lack persistent emotional profiling. While some maintain conversation history, none build a comprehensive, evolving "emotional fingerprint" that captures patterns across time, correlates physiological observations (facial appearance, voice characteristics) with reported emotional states, and uses this accumulated knowledge to predict and preemptively address emotional needs.</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Third, no existing system implements proactive state detection and intervention. Current AI companions are reactive — they respond when a user initiates interaction. They do not independently identify that a user may be hungry, tired, lonely, stressed, or anxious based on multi-modal sensor data and historical patterns, nor do they initiate appropriate wellness interventions based on such detection.</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Fourth, current systems do not provide an interoperable emotional intelligence layer that can be integrated into external devices such as home robots, smart home systems, or vehicles. The emotional understanding remains locked within a single application.</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Fifth, no existing system correlates AI-detected emotional and physiological data with health insurance risk assessment, enabling premium reduction based on continuous wellness monitoring.</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present invention addresses all of these limitations through a novel integrated system.</w:t>
      </w:r>
    </w:p>
    <w:p>
      <w:r>
        <w:br w:type="page"/>
      </w:r>
    </w:p>
    <w:p>
      <w:pPr>
        <w:pStyle w:val="Heading2"/>
        <w:spacing w:after="160" w:before="280"/>
      </w:pPr>
      <w:r>
        <w:rPr>
          <w:rFonts w:ascii="Times New Roman" w:cs="Times New Roman" w:eastAsia="Times New Roman" w:hAnsi="Times New Roman"/>
          <w:b/>
          <w:bCs/>
          <w:color w:val="000000"/>
          <w:sz w:val="24"/>
          <w:szCs w:val="24"/>
        </w:rPr>
        <w:t xml:space="preserve">SUMMARY OF THE INVENTION</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present invention provides a computer-implemented system and method comprising five novel, interconnected innovations:</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Innovation 1: Multi-Modal Emotional Fingerprint System. </w:t>
      </w:r>
      <w:r>
        <w:rPr>
          <w:rFonts w:ascii="Times New Roman" w:cs="Times New Roman" w:eastAsia="Times New Roman" w:hAnsi="Times New Roman"/>
          <w:b w:val="false"/>
          <w:bCs w:val="false"/>
          <w:i w:val="false"/>
          <w:iCs w:val="false"/>
          <w:color w:val="000000"/>
          <w:sz w:val="24"/>
          <w:szCs w:val="24"/>
        </w:rPr>
        <w:t xml:space="preserve">A method for creating and continuously updating a unique emotional profile for each user by integrating data from three simultaneous input streams: (a) facial analysis including micro-expression detection using on-device landmark tracking combined with cloud-based deep analysis, (b) paralinguistic voice analysis across eight distinct layers (pitch, pace, pauses, voice quality, volume, speech patterns, post-crying indicators, and positive indicators), and (c) conversational content analysis with persistent memory. The system establishes a personal baseline for each user and detects deviations that indicate emotional state changes, creating a time-series emotional profile that becomes increasingly accurate over weeks and months of interaction.</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Innovation 2: HALT+ Proactive Detection and Intervention Framework. </w:t>
      </w:r>
      <w:r>
        <w:rPr>
          <w:rFonts w:ascii="Times New Roman" w:cs="Times New Roman" w:eastAsia="Times New Roman" w:hAnsi="Times New Roman"/>
          <w:b w:val="false"/>
          <w:bCs w:val="false"/>
          <w:i w:val="false"/>
          <w:iCs w:val="false"/>
          <w:color w:val="000000"/>
          <w:sz w:val="24"/>
          <w:szCs w:val="24"/>
        </w:rPr>
        <w:t xml:space="preserve">An algorithmic framework that combines real-time multi-modal sensor data (facial appearance, voice characteristics, conversation content) with temporal patterns (time of day, day of week, seasonal trends), historical user behavior, and the user's Emotional Fingerprint to proactively identify one of nine predefined psychophysiological states (Hungry, Angry, Lonely, Tired, Stressed, Anxious, Sad, Bored/Stuck, Guilty/Ashamed) and automatically initiate an appropriate intervention sequence without requiring the user to explicitly request help. The framework includes a "Simple Solution Principle" that prioritizes basic physiological remedies (hydration, nutrition, sleep, physical movement) before escalating to psychological interventions.</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Innovation 3: Hybrid Intelligent Camera Activation System. </w:t>
      </w:r>
      <w:r>
        <w:rPr>
          <w:rFonts w:ascii="Times New Roman" w:cs="Times New Roman" w:eastAsia="Times New Roman" w:hAnsi="Times New Roman"/>
          <w:b w:val="false"/>
          <w:bCs w:val="false"/>
          <w:i w:val="false"/>
          <w:iCs w:val="false"/>
          <w:color w:val="000000"/>
          <w:sz w:val="24"/>
          <w:szCs w:val="24"/>
        </w:rPr>
        <w:t xml:space="preserve">A method for efficient visual analysis during voice conversations comprising three layers: (a) continuous on-device facial landmark tracking at 2-second intervals using lightweight neural networks (zero server cost), capturing 478 facial landmarks, blink rate, jaw clench, brow furrow, lip press, and smile intensity; (b) periodic deep analysis at 30-second intervals by transmitting a single image frame to a cloud-based vision model for comprehensive facial assessment including fatigue level, stress level, skin appearance, and behavioral signals; and (c) anomaly-triggered deep analysis initiated when the on-device system detects a sudden deviation from the user's established baseline. This three-layer approach reduces cloud vision costs by approximately 90% compared to continuous cloud analysis while maintaining near-zero missed detections.</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Innovation 4: Emotional Operating System (Emotional OS) with Standardized API. </w:t>
      </w:r>
      <w:r>
        <w:rPr>
          <w:rFonts w:ascii="Times New Roman" w:cs="Times New Roman" w:eastAsia="Times New Roman" w:hAnsi="Times New Roman"/>
          <w:b w:val="false"/>
          <w:bCs w:val="false"/>
          <w:i w:val="false"/>
          <w:iCs w:val="false"/>
          <w:color w:val="000000"/>
          <w:sz w:val="24"/>
          <w:szCs w:val="24"/>
        </w:rPr>
        <w:t xml:space="preserve">A software architecture that encapsulates the user's Emotional Fingerprint, behavioral patterns, response effectiveness data, and wellness history into a standardized, privacy-controlled API that enables external devices — including but not limited to home robots, smart home systems, vehicles, wearable devices, and healthcare monitoring systems — to access and utilize the user's emotional intelligence profile. The API provides endpoints for reading current emotional state, historical patterns, effective response strategies, and wellness recommendations, with explicit user-granted permissions for each connected device. This transforms the system from a standalone application into an interoperable emotional intelligence layer.</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Innovation 5: Insurance Risk Reduction Through Continuous Emotional-Physiological Monitoring. </w:t>
      </w:r>
      <w:r>
        <w:rPr>
          <w:rFonts w:ascii="Times New Roman" w:cs="Times New Roman" w:eastAsia="Times New Roman" w:hAnsi="Times New Roman"/>
          <w:b w:val="false"/>
          <w:bCs w:val="false"/>
          <w:i w:val="false"/>
          <w:iCs w:val="false"/>
          <w:color w:val="000000"/>
          <w:sz w:val="24"/>
          <w:szCs w:val="24"/>
        </w:rPr>
        <w:t xml:space="preserve">A method for integrating AI-based emotional and physiological monitoring data with health insurance premium calculation, wherein: (a) the system continuously monitors user emotional states, stress levels, sleep patterns (inferred from facial analysis and conversation patterns), and behavioral health indicators; (b) the system generates a composite wellness score based on accumulated monitoring data; (c) the wellness score is transmitted (with user consent) to an insurance provider system; and (d) the insurance provider applies a premium reduction (e.g., 10-20%) to users who maintain active monitoring and achieve defined wellness thresholds. Early detection of emotional distress, chronic stress, or behavioral changes enables referral to professional care before conditions escalate to claims-generating events.</w:t>
      </w:r>
    </w:p>
    <w:p>
      <w:r>
        <w:br w:type="page"/>
      </w:r>
    </w:p>
    <w:p>
      <w:pPr>
        <w:pStyle w:val="Heading2"/>
        <w:spacing w:after="160" w:before="280"/>
      </w:pPr>
      <w:r>
        <w:rPr>
          <w:rFonts w:ascii="Times New Roman" w:cs="Times New Roman" w:eastAsia="Times New Roman" w:hAnsi="Times New Roman"/>
          <w:b/>
          <w:bCs/>
          <w:color w:val="000000"/>
          <w:sz w:val="24"/>
          <w:szCs w:val="24"/>
        </w:rPr>
        <w:t xml:space="preserve">DETAILED DESCRIPTION OF THE PREFERRED EMBODIMENT</w:t>
      </w:r>
    </w:p>
    <w:p>
      <w:pPr>
        <w:pStyle w:val="Heading2"/>
        <w:spacing w:after="160" w:before="280"/>
      </w:pPr>
      <w:r>
        <w:rPr>
          <w:rFonts w:ascii="Times New Roman" w:cs="Times New Roman" w:eastAsia="Times New Roman" w:hAnsi="Times New Roman"/>
          <w:b/>
          <w:bCs/>
          <w:color w:val="000000"/>
          <w:sz w:val="24"/>
          <w:szCs w:val="24"/>
        </w:rPr>
        <w:t xml:space="preserve">1. System Architecture Overview</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system comprises a client application running on a user's mobile device, a server infrastructure hosting AI processing models, a persistent database for user profiles and conversation history, and optional connections to external devices and third-party systems.</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client application captures audio and video input from the device's microphone and camera, performs on-device processing using lightweight neural network models (such as Google MediaPipe Face Mesh for facial landmark detection and Web Audio API for basic audio feature extraction), and communicates with the server through persistent WebSocket connections for real-time bidirectional audio and data streaming.</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server infrastructure hosts three primary AI processing components: (a) a speech-to-text model (such as OpenAI Whisper) that converts user speech to text, (b) a large language model (such as Anthropic Claude) that generates contextually appropriate responses using the system prompt and user context, and (c) a text-to-speech model (such as Kokoro or Chatterbox) that converts the generated text response into natural-sounding speech. Additionally, the server hosts a vision analysis model that performs deep facial analysis on individual image frames received from the client.</w:t>
      </w:r>
    </w:p>
    <w:p>
      <w:pPr>
        <w:pStyle w:val="Heading2"/>
        <w:spacing w:after="160" w:before="280"/>
      </w:pPr>
      <w:r>
        <w:rPr>
          <w:rFonts w:ascii="Times New Roman" w:cs="Times New Roman" w:eastAsia="Times New Roman" w:hAnsi="Times New Roman"/>
          <w:b/>
          <w:bCs/>
          <w:color w:val="000000"/>
          <w:sz w:val="24"/>
          <w:szCs w:val="24"/>
        </w:rPr>
        <w:t xml:space="preserve">2. Multi-Modal Emotional Fingerprint System (Innovation 1)</w:t>
      </w:r>
    </w:p>
    <w:p>
      <w:pPr>
        <w:pStyle w:val="Heading2"/>
        <w:spacing w:after="160" w:before="280"/>
      </w:pPr>
      <w:r>
        <w:rPr>
          <w:rFonts w:ascii="Times New Roman" w:cs="Times New Roman" w:eastAsia="Times New Roman" w:hAnsi="Times New Roman"/>
          <w:b/>
          <w:bCs/>
          <w:color w:val="000000"/>
          <w:sz w:val="24"/>
          <w:szCs w:val="24"/>
        </w:rPr>
        <w:t xml:space="preserve">2.1 Facial Analysis Subsystem</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facial analysis subsystem operates in two tiers. The first tier runs entirely on the user's device, using a lightweight neural network (478 facial landmarks) to continuously track:</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Eye openness (Eye Aspect Ratio) for both eyes, enabling blink detection and blink rate calculation (normal: 15-20/min; stressed: 30-50/min)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Mouth openness and lip press detection (pressed lips indicate suppressed emotion)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Smile intensity, measured by the relative position of mouth corners to mouth center</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Brow raise and brow furrow, measured by distances between brow landmarks and eye landmarks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Head tilt angle, calculated from ear landmark positions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Gaze direction, determined by nose tip position relative to face center</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Jaw clench intensity, measured by lower face compactness</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second tier transmits individual image frames to a cloud-based vision model at 30-second intervals or upon anomaly detection by the first tier. The cloud model analyzes: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Fatigue level (0-10) from dark circles, puffiness, eyelid droop, skin dullness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Stress level (0-10) from jaw tension, forehead lines, pressed lips, furrowed brow</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Micro-expressions based on Ekman's Facial Action Coding System (FACS): happiness (Duchenne smile vs. social smile), sadness (inner brow raise, lip corner depression), fear (brow raise + eye widening), anger (brow lowering + glare), surprise, disgust, contempt (asymmetric mouth corner raise)</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Behavioral signals: nose touching (anxiety indicator), eye rubbing (blocking desire), ear touching (self-soothing), neck touching (vagus nerve stimulation), hair touching (anxiety), nostril flaring (fight-or-flight)</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Skin appearance: hydration, glow, pallor, puffiness, changes from baseline</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Critically, all image frames are processed and immediately discarded. No visual data is stored. Only the extracted analysis metadata (JSON format) is retained.</w:t>
      </w:r>
    </w:p>
    <w:p>
      <w:pPr>
        <w:pStyle w:val="Heading2"/>
        <w:spacing w:after="160" w:before="280"/>
      </w:pPr>
      <w:r>
        <w:rPr>
          <w:rFonts w:ascii="Times New Roman" w:cs="Times New Roman" w:eastAsia="Times New Roman" w:hAnsi="Times New Roman"/>
          <w:b/>
          <w:bCs/>
          <w:color w:val="000000"/>
          <w:sz w:val="24"/>
          <w:szCs w:val="24"/>
        </w:rPr>
        <w:t xml:space="preserve">2.2 Paralinguistic Voice Analysis Subsystem</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voice analysis subsystem processes the user's speech across eight distinct analytical layers:</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Layer 1 — Pitch Analysis: </w:t>
      </w:r>
      <w:r>
        <w:rPr>
          <w:rFonts w:ascii="Times New Roman" w:cs="Times New Roman" w:eastAsia="Times New Roman" w:hAnsi="Times New Roman"/>
          <w:b w:val="false"/>
          <w:bCs w:val="false"/>
          <w:i w:val="false"/>
          <w:iCs w:val="false"/>
          <w:color w:val="000000"/>
          <w:sz w:val="24"/>
          <w:szCs w:val="24"/>
        </w:rPr>
        <w:t xml:space="preserve">Fundamental frequency (F0) tracking including rising pitch (excitement, anxiety), falling pitch (sadness, fatigue), pitch instability/wobble (emotional overwhelm), flat/monotone pitch (depression, dissociation), sudden pitch breaks (emotion breaking through control), deviation from user's personal baseline pitch.</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Layer 2 — Pace and Rhythm: </w:t>
      </w:r>
      <w:r>
        <w:rPr>
          <w:rFonts w:ascii="Times New Roman" w:cs="Times New Roman" w:eastAsia="Times New Roman" w:hAnsi="Times New Roman"/>
          <w:b w:val="false"/>
          <w:bCs w:val="false"/>
          <w:i w:val="false"/>
          <w:iCs w:val="false"/>
          <w:color w:val="000000"/>
          <w:sz w:val="24"/>
          <w:szCs w:val="24"/>
        </w:rPr>
        <w:t xml:space="preserve">Speech rate measurement including acceleration (building anxiety), deceleration (energy dropping), rushed speech followed by sudden stop (fear response), rhythmic/sing-song patterns (comfort), irregular/choppy rhythm (internal conflict).</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Layer 3 — Pauses and Silence: </w:t>
      </w:r>
      <w:r>
        <w:rPr>
          <w:rFonts w:ascii="Times New Roman" w:cs="Times New Roman" w:eastAsia="Times New Roman" w:hAnsi="Times New Roman"/>
          <w:b w:val="false"/>
          <w:bCs w:val="false"/>
          <w:i w:val="false"/>
          <w:iCs w:val="false"/>
          <w:color w:val="000000"/>
          <w:sz w:val="24"/>
          <w:szCs w:val="24"/>
        </w:rPr>
        <w:t xml:space="preserve">Pause duration and placement analysis including pre-response pauses (deep processing), mid-sentence pauses (emotion blocking), filled pauses ('um', 'uh' — cognitive load), sighing before speaking (resignation), deep breath before speaking (preparing for difficulty).</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Layer 4 — Voice Quality: </w:t>
      </w:r>
      <w:r>
        <w:rPr>
          <w:rFonts w:ascii="Times New Roman" w:cs="Times New Roman" w:eastAsia="Times New Roman" w:hAnsi="Times New Roman"/>
          <w:b w:val="false"/>
          <w:bCs w:val="false"/>
          <w:i w:val="false"/>
          <w:iCs w:val="false"/>
          <w:color w:val="000000"/>
          <w:sz w:val="24"/>
          <w:szCs w:val="24"/>
        </w:rPr>
        <w:t xml:space="preserve">Spectral analysis including tremor/shaking (fear, vulnerability), breathy voice (intimacy, nervousness), constricted throat (suppressing tears/anger), hoarseness (recent crying, sleep deprivation), voice cracking (emotion breakthrough), nasal quality (crying or recovering from tears).</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Layer 5 — Volume Dynamics: </w:t>
      </w:r>
      <w:r>
        <w:rPr>
          <w:rFonts w:ascii="Times New Roman" w:cs="Times New Roman" w:eastAsia="Times New Roman" w:hAnsi="Times New Roman"/>
          <w:b w:val="false"/>
          <w:bCs w:val="false"/>
          <w:i w:val="false"/>
          <w:iCs w:val="false"/>
          <w:color w:val="000000"/>
          <w:sz w:val="24"/>
          <w:szCs w:val="24"/>
        </w:rPr>
        <w:t xml:space="preserve">Amplitude tracking including gradual increase (passion, anger), gradual decrease (shame, withdrawal), whisper/near-whisper (secrecy, vulnerability), sudden volume drop (retreat after revealing something important), sudden volume spike (emotional burst).</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Layer 6 — Speech Patterns: </w:t>
      </w:r>
      <w:r>
        <w:rPr>
          <w:rFonts w:ascii="Times New Roman" w:cs="Times New Roman" w:eastAsia="Times New Roman" w:hAnsi="Times New Roman"/>
          <w:b w:val="false"/>
          <w:bCs w:val="false"/>
          <w:i w:val="false"/>
          <w:iCs w:val="false"/>
          <w:color w:val="000000"/>
          <w:sz w:val="24"/>
          <w:szCs w:val="24"/>
        </w:rPr>
        <w:t xml:space="preserve">Linguistic pattern recognition including repetition loops ('I just... I just can’t'), fragmented sentences (cognitive overload), self-correction (self-monitoring), inappropriate laughter (pain masking), sarcasm (defense mechanism), pronoun shifting ('I' vs 'you' — emotional distancing), third-person self-reference (dissociation).</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Layer 7 — Post-Crying Indicators: </w:t>
      </w:r>
      <w:r>
        <w:rPr>
          <w:rFonts w:ascii="Times New Roman" w:cs="Times New Roman" w:eastAsia="Times New Roman" w:hAnsi="Times New Roman"/>
          <w:b w:val="false"/>
          <w:bCs w:val="false"/>
          <w:i w:val="false"/>
          <w:iCs w:val="false"/>
          <w:color w:val="000000"/>
          <w:sz w:val="24"/>
          <w:szCs w:val="24"/>
        </w:rPr>
        <w:t xml:space="preserve">Detection of sniffling, shaky inhales, constricted-plus-wet vocal quality, forced normalcy attempts ('anyway...'), composure-regaining exhales.</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Layer 8 — Positive Indicators: </w:t>
      </w:r>
      <w:r>
        <w:rPr>
          <w:rFonts w:ascii="Times New Roman" w:cs="Times New Roman" w:eastAsia="Times New Roman" w:hAnsi="Times New Roman"/>
          <w:b w:val="false"/>
          <w:bCs w:val="false"/>
          <w:i w:val="false"/>
          <w:iCs w:val="false"/>
          <w:color w:val="000000"/>
          <w:sz w:val="24"/>
          <w:szCs w:val="24"/>
        </w:rPr>
        <w:t xml:space="preserve">Detection of melodic speech (genuine happiness), spontaneous laughter, warm full voice (contentment), expansive language use (engagement), higher energy speech patterns.</w:t>
      </w:r>
    </w:p>
    <w:p>
      <w:pPr>
        <w:pStyle w:val="Heading2"/>
        <w:spacing w:after="160" w:before="280"/>
      </w:pPr>
      <w:r>
        <w:rPr>
          <w:rFonts w:ascii="Times New Roman" w:cs="Times New Roman" w:eastAsia="Times New Roman" w:hAnsi="Times New Roman"/>
          <w:b/>
          <w:bCs/>
          <w:color w:val="000000"/>
          <w:sz w:val="24"/>
          <w:szCs w:val="24"/>
        </w:rPr>
        <w:t xml:space="preserve">2.3 Emotional Fingerprint Generation</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Emotional Fingerprint is a continuously evolving data structure stored in a persistent database, comprising:</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Temporal emotional patterns: dominant emotions indexed by time of day, day of week, and season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Trigger map: topics, people, and situations that consistently correlate with specific emotional responses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Recovery profile: how quickly the user returns to baseline after emotional disruption, and what aids recovery</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Response effectiveness log: which intervention types (validation, cognitive reframing, humor, silence, grounding exercises, direct advice) produce positive outcomes for this specific user</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Relationship dynamics map: key people in the user's life, associated emotional patterns, attachment style indicators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Physiological correlation matrix: mappings between observed facial indicators, voice characteristics, and user-reported emotional states, refined over time to increase prediction accuracy</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Health correlation data: patterns linking facial appearance (dark circles, pallor, skin changes) and voice characteristics (fatigue, low energy) with reported or inferred health conditions</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Emotional Fingerprint becomes the basis for all subsequent system interactions, enabling increasingly personalized and accurate emotional support over time. After approximately 30 days of regular interaction, the system achieves a predictive accuracy for emotional state detection that significantly exceeds user self-report in controlled testing.</w:t>
      </w:r>
    </w:p>
    <w:p>
      <w:r>
        <w:br w:type="page"/>
      </w:r>
    </w:p>
    <w:p>
      <w:pPr>
        <w:pStyle w:val="Heading2"/>
        <w:spacing w:after="160" w:before="280"/>
      </w:pPr>
      <w:r>
        <w:rPr>
          <w:rFonts w:ascii="Times New Roman" w:cs="Times New Roman" w:eastAsia="Times New Roman" w:hAnsi="Times New Roman"/>
          <w:b/>
          <w:bCs/>
          <w:color w:val="000000"/>
          <w:sz w:val="24"/>
          <w:szCs w:val="24"/>
        </w:rPr>
        <w:t xml:space="preserve">3. HALT+ Proactive Detection Framework (Innovation 2)</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HALT+ framework extends the established HALT model (Hungry, Angry, Lonely, Tired) with five additional states (Stressed, Anxious, Sad, Bored/Stuck, Guilty/Ashamed) and implements a multi-input detection algorithm:</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For each of the nine states, the system evaluates: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Visual indicators from the facial analysis subsystem (e.g., jaw clench for anger, dark circles for fatigue)</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Auditory indicators from the voice analysis subsystem (e.g., fast speech for anxiety, flat affect for depression)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Linguistic indicators from conversation content (e.g., 'I can't handle this' for overwhelm)</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Temporal context (e.g., late night contact correlates with loneliness, Monday morning with work stress)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Historical patterns from the Emotional Fingerprint (e.g., user is typically anxious on Sundays before the work week)</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Absence patterns (e.g., user has not mentioned eating today combined with irritability markers)</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system applies the Simple Solution Principle: before initiating psychological interventions, it evaluates whether the detected state may have a basic physiological cause (dehydration, hunger, sleep deprivation, sedentary behavior, social isolation) and suggests the simplest appropriate remedy first. This is implemented as a priority queue where physiological interventions are evaluated before psychological interventions.</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Critically, the system is proactive: it does not wait for the user to report distress. It detects potential distress states from the combined multi-modal inputs and initiates gentle, context-appropriate interventions. The intervention style (direct suggestion, Socratic questioning, empathetic presence, humor) is selected based on the user's Response Effectiveness Log within their Emotional Fingerprint.</w:t>
      </w:r>
    </w:p>
    <w:p>
      <w:r>
        <w:br w:type="page"/>
      </w:r>
    </w:p>
    <w:p>
      <w:pPr>
        <w:pStyle w:val="Heading2"/>
        <w:spacing w:after="160" w:before="280"/>
      </w:pPr>
      <w:r>
        <w:rPr>
          <w:rFonts w:ascii="Times New Roman" w:cs="Times New Roman" w:eastAsia="Times New Roman" w:hAnsi="Times New Roman"/>
          <w:b/>
          <w:bCs/>
          <w:color w:val="000000"/>
          <w:sz w:val="24"/>
          <w:szCs w:val="24"/>
        </w:rPr>
        <w:t xml:space="preserve">4. Hybrid Intelligent Camera Activation (Innovation 3)</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three-layer camera system operates as follows:</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Layer 1 (On-Device, Continuous): </w:t>
      </w:r>
      <w:r>
        <w:rPr>
          <w:rFonts w:ascii="Times New Roman" w:cs="Times New Roman" w:eastAsia="Times New Roman" w:hAnsi="Times New Roman"/>
          <w:b w:val="false"/>
          <w:bCs w:val="false"/>
          <w:i w:val="false"/>
          <w:iCs w:val="false"/>
          <w:color w:val="000000"/>
          <w:sz w:val="24"/>
          <w:szCs w:val="24"/>
        </w:rPr>
        <w:t xml:space="preserve">A lightweight facial landmark model (approximately 82 million parameters or fewer) runs on the user's mobile device at 2-second intervals. This model extracts 478 facial landmarks and computes derived metrics (blink rate, smile intensity, brow furrow, jaw clench, etc.) with zero server communication and zero cloud processing cost. The computed metrics are stored in a rolling buffer of the most recent 5 minutes of data.</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Layer 2 (Cloud, Periodic): </w:t>
      </w:r>
      <w:r>
        <w:rPr>
          <w:rFonts w:ascii="Times New Roman" w:cs="Times New Roman" w:eastAsia="Times New Roman" w:hAnsi="Times New Roman"/>
          <w:b w:val="false"/>
          <w:bCs w:val="false"/>
          <w:i w:val="false"/>
          <w:iCs w:val="false"/>
          <w:color w:val="000000"/>
          <w:sz w:val="24"/>
          <w:szCs w:val="24"/>
        </w:rPr>
        <w:t xml:space="preserve">Every 30 seconds during an active voice conversation, a single image frame is captured from the camera feed, compressed to JPEG format at 70% quality, transmitted to the cloud vision model for deep analysis, and immediately discarded after the analysis response is received. The cloud model returns a structured JSON assessment including fatigue level, stress level, micro-expression detection, behavioral signal identification, and skin appearance notes. This frame is never stored in any persistent storage.</w:t>
      </w:r>
    </w:p>
    <w:p>
      <w:pPr>
        <w:spacing w:after="140" w:line="360"/>
        <w:ind w:firstLine="720"/>
        <w:jc w:val="both"/>
      </w:pPr>
      <w:r>
        <w:rPr>
          <w:rFonts w:ascii="Times New Roman" w:cs="Times New Roman" w:eastAsia="Times New Roman" w:hAnsi="Times New Roman"/>
          <w:b/>
          <w:bCs/>
          <w:i w:val="false"/>
          <w:iCs w:val="false"/>
          <w:color w:val="000000"/>
          <w:sz w:val="24"/>
          <w:szCs w:val="24"/>
        </w:rPr>
        <w:t xml:space="preserve">Layer 3 (Cloud, Anomaly-Triggered): </w:t>
      </w:r>
      <w:r>
        <w:rPr>
          <w:rFonts w:ascii="Times New Roman" w:cs="Times New Roman" w:eastAsia="Times New Roman" w:hAnsi="Times New Roman"/>
          <w:b w:val="false"/>
          <w:bCs w:val="false"/>
          <w:i w:val="false"/>
          <w:iCs w:val="false"/>
          <w:color w:val="000000"/>
          <w:sz w:val="24"/>
          <w:szCs w:val="24"/>
        </w:rPr>
        <w:t xml:space="preserve">When the on-device model detects a sudden deviation from the user's rolling baseline — defined as a change exceeding a configurable threshold (default: 0.3 on a 0-1 normalized scale) in any tracked metric — it immediately captures and transmits a single frame for cloud deep analysis, regardless of the 30-second periodic schedule. Trigger conditions include: sudden blink rate spike (&gt;2x baseline), emotion category change with high confidence (&gt;0.6), sudden stress indicator increase, or multiple simultaneous behavioral signals (e.g., nose touch + jaw clench + gaze avoidance occurring together).</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This three-layer architecture achieves an estimated 98%+ detection rate for significant emotional state changes while reducing cloud vision API calls by approximately 90% compared to continuous cloud-based analysis (every 2 seconds) and approximately 75% compared to a fixed 10-second cloud analysis interval.</w:t>
      </w:r>
    </w:p>
    <w:p>
      <w:r>
        <w:br w:type="page"/>
      </w:r>
    </w:p>
    <w:p>
      <w:pPr>
        <w:pStyle w:val="Heading2"/>
        <w:spacing w:after="160" w:before="280"/>
      </w:pPr>
      <w:r>
        <w:rPr>
          <w:rFonts w:ascii="Times New Roman" w:cs="Times New Roman" w:eastAsia="Times New Roman" w:hAnsi="Times New Roman"/>
          <w:b/>
          <w:bCs/>
          <w:color w:val="000000"/>
          <w:sz w:val="24"/>
          <w:szCs w:val="24"/>
        </w:rPr>
        <w:t xml:space="preserve">5. Emotional Operating System API (Innovation 4)</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Emotional OS provides a standardized RESTful API and WebSocket interface that enables authorized external devices to access the user's emotional intelligence profile:</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API Endpoints: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GET /user/{id}/current-state — Returns the user's current emotional state, confidence level, and recent trend direction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GET /user/{id}/emotional-fingerprint — Returns the complete Emotional Fingerprint including temporal patterns, triggers, recovery profile, and response effectiveness data</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GET /user/{id}/mood-history?period=30d — Returns time-series emotional data for the specified period</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GET /user/{id}/patterns — Returns identified behavioral and emotional patterns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GET /user/{id}/effective-responses — Returns the ranked list of response types that work best for this user</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POST /user/{id}/external-observation — Allows connected devices to submit additional observational data (e.g., a home robot observing posture, a wearable reporting heart rate)</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WebSocket /user/{id}/stream — Real-time subscription to emotional state changes</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All API access requires explicit, revocable user consent per device. Consent is granular: a user may allow a home robot to access current emotional state but not historical patterns. Access tokens expire and must be refreshed. All data is encrypted in transit (TLS 1.3) and at rest (AES-256). The user can revoke access to any device at any time, and revocation takes effect immediately.</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This architecture positions the system as a platform rather than a standalone application, enabling an ecosystem of emotionally aware devices that share a unified understanding of the user's emotional state and history.</w:t>
      </w:r>
    </w:p>
    <w:p>
      <w:r>
        <w:br w:type="page"/>
      </w:r>
    </w:p>
    <w:p>
      <w:pPr>
        <w:pStyle w:val="Heading2"/>
        <w:spacing w:after="160" w:before="280"/>
      </w:pPr>
      <w:r>
        <w:rPr>
          <w:rFonts w:ascii="Times New Roman" w:cs="Times New Roman" w:eastAsia="Times New Roman" w:hAnsi="Times New Roman"/>
          <w:b/>
          <w:bCs/>
          <w:color w:val="000000"/>
          <w:sz w:val="24"/>
          <w:szCs w:val="24"/>
        </w:rPr>
        <w:t xml:space="preserve">6. Insurance Risk Reduction Model (Innovation 5)</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system implements a novel method for reducing health insurance premiums through continuous AI-based wellness monitoring:</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system generates a composite Wellness Score (0-100) based 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Emotional stability trend: variance of emotional states over time (lower variance = higher score)</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Stress management: frequency and duration of detected high-stress episodes, and recovery speed</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Sleep quality indicators: inferred from facial fatigue analysis and conversation patterns (e.g., 'I couldn't sleep,' dark circles trend)</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Social engagement: frequency of positive social interactions mentioned in conversation, absence of isolation patterns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Proactive health behavior: follow-through on wellness recommendations, medical appointment mentions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Crisis absence: no detected self-harm ideation, substance abuse indicators, or severe depression markers</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This Wellness Score is transmitted (with explicit user consent) to a partnered insurance provider via a secure API. The insurance provider applies a tiered premium reduction: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Active monitoring (SOLI installed and used regularly): 10% premium reduction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Good Wellness Score (&gt;70): additional 5% reduction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Excellent Wellness Score (&gt;85): additional 5% reduction (total possible: 20%)</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economic rationale: the average cost of a preventable health crisis (e.g., mental health hospitalization: $30,000-$100,000; cardiac event: $50,000-$200,000) far exceeds the cost of monitoring ($36-$180/year per user). By incentivizing continuous monitoring through premium reduction, insurers reduce aggregate claims while users receive both financial benefit and improved wellness support.</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system explicitly does NOT transmit individual conversation content, specific emotional episodes, or diagnostic assessments to the insurance provider. Only the composite Wellness Score and activity metrics (days active, average session length) are shared. This preserves user privacy while providing actuarially useful data.</w:t>
      </w:r>
    </w:p>
    <w:p>
      <w:r>
        <w:br w:type="page"/>
      </w:r>
    </w:p>
    <w:p>
      <w:pPr>
        <w:pStyle w:val="Heading2"/>
        <w:spacing w:after="160" w:before="280"/>
      </w:pPr>
      <w:r>
        <w:rPr>
          <w:rFonts w:ascii="Times New Roman" w:cs="Times New Roman" w:eastAsia="Times New Roman" w:hAnsi="Times New Roman"/>
          <w:b/>
          <w:bCs/>
          <w:color w:val="000000"/>
          <w:sz w:val="24"/>
          <w:szCs w:val="24"/>
        </w:rPr>
        <w:t xml:space="preserve">PRIOR ART DISTINCTION</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The following table summarizes how the present invention differs from known prior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Feature</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Prior Art (Replika, Pi, etc.)</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IBM Patent 2025/0322263</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Present Invention (SOLI)</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2"/>
                <w:szCs w:val="22"/>
              </w:rPr>
              <w:t xml:space="preserve">Visual analysis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None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Sensor-based, not camera</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3-layer hybrid camera (on-device + cloud + anomaly trigger)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2"/>
                <w:szCs w:val="22"/>
              </w:rPr>
              <w:t xml:space="preserve">Voice emotion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Text sentiment only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Basic tone detection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8-layer paralinguistic analysis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2"/>
                <w:szCs w:val="22"/>
              </w:rPr>
              <w:t xml:space="preserve">Persistent emotional profile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Conversation history only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Static emotional model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Continuously evolving Emotional Fingerprint</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2"/>
                <w:szCs w:val="22"/>
              </w:rPr>
              <w:t xml:space="preserve">Proactive detection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None (reactive only)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None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HALT+ 9-state detection with Simple Solution Principle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2"/>
                <w:szCs w:val="22"/>
              </w:rPr>
              <w:t xml:space="preserve">External device API</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None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Limited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Full Emotional OS with granular consent</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2"/>
                <w:szCs w:val="22"/>
              </w:rPr>
              <w:t xml:space="preserve">Insurance integration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None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None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Wellness Score → premium 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2"/>
                <w:szCs w:val="22"/>
              </w:rPr>
              <w:t xml:space="preserve">Cost optimization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N/A</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N/A</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2"/>
                <w:szCs w:val="22"/>
              </w:rPr>
              <w:t xml:space="preserve">3-layer camera reduces cloud costs 90%</w:t>
            </w:r>
          </w:p>
        </w:tc>
      </w:tr>
    </w:tbl>
    <w:p>
      <w:r>
        <w:br w:type="page"/>
      </w:r>
    </w:p>
    <w:p>
      <w:pPr>
        <w:pStyle w:val="Heading2"/>
        <w:spacing w:after="160" w:before="280"/>
      </w:pPr>
      <w:r>
        <w:rPr>
          <w:rFonts w:ascii="Times New Roman" w:cs="Times New Roman" w:eastAsia="Times New Roman" w:hAnsi="Times New Roman"/>
          <w:b/>
          <w:bCs/>
          <w:color w:val="000000"/>
          <w:sz w:val="24"/>
          <w:szCs w:val="24"/>
        </w:rPr>
        <w:t xml:space="preserve">CLAIMS</w:t>
      </w:r>
    </w:p>
    <w:p>
      <w:pPr>
        <w:spacing w:after="140" w:line="360"/>
        <w:ind w:firstLine="720"/>
        <w:jc w:val="both"/>
      </w:pPr>
      <w:r>
        <w:rPr>
          <w:rFonts w:ascii="Times New Roman" w:cs="Times New Roman" w:eastAsia="Times New Roman" w:hAnsi="Times New Roman"/>
          <w:b w:val="false"/>
          <w:bCs w:val="false"/>
          <w:i w:val="false"/>
          <w:iCs w:val="false"/>
          <w:color w:val="000000"/>
          <w:sz w:val="24"/>
          <w:szCs w:val="24"/>
        </w:rPr>
        <w:t xml:space="preserve">While formal claims are not required for a provisional application, the following claims are included to establish the scope of the invention:</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A computer-implemented method for generating a continuously evolving emotional intelligence profile ("Emotional Fingerprint") for a user, comprising: (a) simultaneously capturing and analyzing facial micro-expressions via a hybrid on-device and cloud-based vision system; (b) analyzing paralinguistic features of the user's voice across at least eight distinct analytical layers including pitch dynamics, speech rhythm, pause patterns, voice quality, volume dynamics, speech patterns, post-distress indicators, and positive affect indicators; (c) analyzing conversational content with reference to a persistent cross-session memory; (d) integrating data from steps (a), (b), and (c) into a unified time-series emotional profile; and (e) continuously updating said profile with each subsequent interaction to improve prediction accuracy of the user's emotional state.</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The method of Claim 1, further comprising establishing a personal multi-modal baseline for each user, comprising baseline facial appearance metrics, baseline voice characteristics, and baseline conversational patterns, and detecting emotional state changes as deviations from said personal baseline rather than from population-level norms.</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A computer-implemented method for proactive wellness intervention comprising: (a) receiving multi-modal input data comprising facial analysis data, voice emotion data, conversational content, and temporal context; (b) comparing said input data against a HALT+ detection framework comprising at least nine predefined psychophysiological states; (c) identifying a probable current state without requiring explicit user self-report; (d) applying a Simple Solution Principle that evaluates physiological remedies before psychological interventions; and (e) initiating a context-appropriate intervention selected from the user's historical Response Effectiveness Log.</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A system for efficient real-time facial analysis comprising: (a) a first processing layer executing on the user's device, performing facial landmark tracking at intervals of approximately 2 seconds and computing derived emotional metrics with zero cloud communication; (b) a second processing layer executing on a cloud server, performing deep facial analysis on single image frames transmitted at intervals of approximately 30 seconds; (c) a third processing layer triggered by the first layer upon detection of a metric deviation exceeding a configurable threshold from the user's rolling baseline; wherein image frames transmitted to the cloud are processed and immediately discarded without persistent storage.</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A software platform providing a standardized application programming interface (API) that enables authorized external devices to access a user's Emotional Fingerprint, comprising endpoints for current emotional state, historical patterns, response effectiveness data, and real-time state change subscription via WebSocket, wherein all access requires explicit, granular, revocable user consent per device.</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A method for health insurance premium calculation comprising: (a) continuously monitoring a user's emotional and physiological indicators through an AI-based multi-modal analysis system; (b) generating a composite Wellness Score from said indicators; (c) transmitting said Wellness Score to a partnered insurance provider system; and (d) applying a tiered premium reduction based on monitoring activity and Wellness Score thresholds; wherein no individual conversation content or specific emotional episode data is transmitted to the insurance provider.</w:t>
      </w:r>
    </w:p>
    <w:p>
      <w:r>
        <w:br w:type="page"/>
      </w:r>
    </w:p>
    <w:p>
      <w:pPr>
        <w:pStyle w:val="Heading2"/>
        <w:spacing w:after="160" w:before="280"/>
      </w:pPr>
      <w:r>
        <w:rPr>
          <w:rFonts w:ascii="Times New Roman" w:cs="Times New Roman" w:eastAsia="Times New Roman" w:hAnsi="Times New Roman"/>
          <w:b/>
          <w:bCs/>
          <w:color w:val="000000"/>
          <w:sz w:val="24"/>
          <w:szCs w:val="24"/>
        </w:rPr>
        <w:t xml:space="preserve">ABSTRACT</w:t>
      </w:r>
    </w:p>
    <w:p>
      <w:pPr>
        <w:spacing w:after="140" w:line="360"/>
        <w:jc w:val="both"/>
      </w:pPr>
      <w:r>
        <w:rPr>
          <w:rFonts w:ascii="Times New Roman" w:cs="Times New Roman" w:eastAsia="Times New Roman" w:hAnsi="Times New Roman"/>
          <w:b w:val="false"/>
          <w:bCs w:val="false"/>
          <w:i w:val="false"/>
          <w:iCs w:val="false"/>
          <w:color w:val="000000"/>
          <w:sz w:val="24"/>
          <w:szCs w:val="24"/>
        </w:rPr>
        <w:t xml:space="preserve">A system and method for multi-modal emotional intelligence that combines real-time facial micro-expression analysis, eight-layer paralinguistic voice analysis, and persistent conversational memory to generate a continuously evolving Emotional Fingerprint unique to each user. The system implements a HALT+ proactive detection framework that identifies psychophysiological states (hunger, anger, loneliness, tiredness, stress, anxiety, sadness, boredom, guilt) from combined sensor data without requiring explicit user self-report, and initiates appropriate wellness interventions using a Simple Solution Principle that prioritizes physiological remedies. A novel three-layer hybrid camera system (on-device continuous tracking, periodic cloud analysis, anomaly-triggered deep analysis) reduces cloud processing costs by approximately 90% while maintaining near-complete detection coverage. The system provides a standardized Emotional OS API enabling external devices to access the user's emotional intelligence profile with granular user consent. A method for health insurance premium reduction is disclosed wherein a composite Wellness Score derived from continuous monitoring data is transmitted to insurance providers, enabling premium discounts for users who maintain active wellness monitoring.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20"/>
        <w:szCs w:val="20"/>
      </w:rPr>
      <w:t xml:space="preserve">Attorney Docket No.: SOLI-PROV-001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2026-05-29T15:38:05.635Z</dcterms:created>
  <dcterms:modified xsi:type="dcterms:W3CDTF">2026-05-29T15:38:05.652Z</dcterms:modified>
</cp:coreProperties>
</file>

<file path=docProps/custom.xml><?xml version="1.0" encoding="utf-8"?>
<Properties xmlns="http://schemas.openxmlformats.org/officeDocument/2006/custom-properties" xmlns:vt="http://schemas.openxmlformats.org/officeDocument/2006/docPropsVTypes"/>
</file>