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13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4" w:name="_f1f9cc3f4e7e57e7e99ffc1d85334cce67c3650"/>
      <w:r>
        <w:t xml:space="preserve">1.9. Werkzaamheden en beheermaatregelen</w:t>
      </w:r>
      <w:bookmarkEnd w:id="54"/>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De lokale Zotero-bibliotheek bevatte op 13 oktober 2026 1.434 items en 807 bijlagen. Alle 807 bijlagebestanden zijn op de toegestane gekoppelde opslag onder</w:t>
      </w:r>
      <w:r>
        <w:t xml:space="preserve"> </w:t>
      </w:r>
      <w:r>
        <w:rPr>
          <w:rStyle w:val="VerbatimChar"/>
        </w:rPr>
        <w:t xml:space="preserve">/Volumes/zotero</w:t>
      </w:r>
      <w:r>
        <w:t xml:space="preserve"> </w:t>
      </w:r>
      <w:r>
        <w:t xml:space="preserve">gevonden en bestandsgewijs geraadpleegd via tekstextractie, formaatcontrole en voor vier relevante scans OCR. De inhoudelijke selectie leverde vijf lokale hoofdbronnen op:</w:t>
      </w:r>
      <w:r>
        <w:t xml:space="preserve"> </w:t>
      </w:r>
      <w:r>
        <w:rPr>
          <w:i/>
          <w:iCs/>
        </w:rPr>
        <w:t xml:space="preserve">De slibverwijdering van Pan 13</w:t>
      </w:r>
      <w:r>
        <w:t xml:space="preserve"> </w:t>
      </w:r>
      <w:r>
        <w:t xml:space="preserve">(1991),</w:t>
      </w:r>
      <w:r>
        <w:t xml:space="preserve"> </w:t>
      </w:r>
      <w:r>
        <w:rPr>
          <w:i/>
          <w:iCs/>
        </w:rPr>
        <w:t xml:space="preserve">Natuurherstel van de Kikkervalleien in Noord-Meijendel</w:t>
      </w:r>
      <w:r>
        <w:t xml:space="preserve"> </w:t>
      </w:r>
      <w:r>
        <w:t xml:space="preserve">(2010),</w:t>
      </w:r>
      <w:r>
        <w:t xml:space="preserve"> </w:t>
      </w:r>
      <w:r>
        <w:rPr>
          <w:i/>
          <w:iCs/>
        </w:rPr>
        <w:t xml:space="preserve">Grenzen slechten in Meijendel: stuifgaten in de zeereep</w:t>
      </w:r>
      <w:r>
        <w:t xml:space="preserve"> </w:t>
      </w:r>
      <w:r>
        <w:t xml:space="preserve">(2017), de definitieve</w:t>
      </w:r>
      <w:r>
        <w:t xml:space="preserve"> </w:t>
      </w:r>
      <w:r>
        <w:rPr>
          <w:i/>
          <w:iCs/>
        </w:rPr>
        <w:t xml:space="preserve">Evaluatie Natura 2000-beheerplan Meijendel &amp; Berkheide</w:t>
      </w:r>
      <w:r>
        <w:t xml:space="preserve"> </w:t>
      </w:r>
      <w:r>
        <w:t xml:space="preserve">(25 april 2025) en het ontwerpbeheerplan 2026–2032 (13 januari 2026). Het ontwerp is alleen als historische aanvulling en plancontext gebruikt; ontwerpmaatregelen zijn niet als uitgevoerd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12 projecten, 12 bronnen, 33 uitvoeringen, 58 expliciete jaarbeoordelingen uit 1988–2025 en 39 bronkoppelingen. Van de jaarbeoordelingen zijn er 42</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uitvoeringen lopen volgens de beschikbare datumvelden van oktober 1988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5">
        <w:r>
          <w:rPr>
            <w:rStyle w:val="Hyperlink"/>
          </w:rPr>
          <w:t xml:space="preserve">globale overzichtskaart met historische gebiedsnamen</w:t>
        </w:r>
      </w:hyperlink>
      <w:r>
        <w:t xml:space="preserve"> </w:t>
      </w:r>
      <w:r>
        <w:t xml:space="preserve">is als naamcontext gebruikt; zij bevat geen digitale grenzen waarmee namen als Meeuwenhoek, Harstenhoek of De Klip exact kunnen worden afgebakend. De 55 actuele 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uitvoeringsgeometrieën.</w:t>
      </w:r>
      <w:r>
        <w:t xml:space="preserve"> </w:t>
      </w:r>
      <w:r>
        <w:rPr>
          <w:rStyle w:val="VerbatimChar"/>
        </w:rPr>
        <w:t xml:space="preserve">maatregel_uitvoering_gebied</w:t>
      </w:r>
      <w:r>
        <w:t xml:space="preserve"> </w:t>
      </w:r>
      <w:r>
        <w:t xml:space="preserve">en</w:t>
      </w:r>
      <w:r>
        <w:t xml:space="preserve"> </w:t>
      </w:r>
      <w:r>
        <w:rPr>
          <w:rStyle w:val="VerbatimChar"/>
        </w:rPr>
        <w:t xml:space="preserve">maatregel_plot_koppeling</w:t>
      </w:r>
      <w:r>
        <w:t xml:space="preserve"> </w:t>
      </w:r>
      <w:r>
        <w:t xml:space="preserve">bevatten ieder één veilige relatie: het ontwerpbeheerplan noemt Voorlinden en Ton bevestigde M91 als Voorlinden. Het doorsnijdingspercentage blijft leeg omdat de precieze uitvoeringsvoetafdruk binnen M91 niet bekend is. De jaarstatus voor 2025 blijft</w:t>
      </w:r>
      <w:r>
        <w:t xml:space="preserve"> </w:t>
      </w:r>
      <w:r>
        <w:rPr>
          <w:rStyle w:val="VerbatimChar"/>
        </w:rPr>
        <w:t xml:space="preserve">onbekend</w:t>
      </w:r>
      <w:r>
        <w:t xml:space="preserve">; daardoor bevat</w:t>
      </w:r>
      <w:r>
        <w:t xml:space="preserve"> </w:t>
      </w:r>
      <w:r>
        <w:rPr>
          <w:rStyle w:val="VerbatimChar"/>
        </w:rPr>
        <w:t xml:space="preserve">v_plot_jaar_maatregel_bronvast</w:t>
      </w:r>
      <w:r>
        <w:t xml:space="preserve"> </w:t>
      </w:r>
      <w:r>
        <w:t xml:space="preserve">voor deze uitvoering en in totaal nog nul regels. Andere benoemde deelgebieden zijn niet automatisch over alle onderliggende plots verdeeld.</w:t>
      </w:r>
    </w:p>
    <w:p>
      <w:pPr>
        <w:pStyle w:val="BodyText"/>
      </w:pPr>
      <w:r>
        <w:rPr>
          <w:b/>
          <w:bCs/>
        </w:rPr>
        <w:t xml:space="preserve">Gebruik en grens.</w:t>
      </w:r>
      <w:r>
        <w:t xml:space="preserve"> </w:t>
      </w:r>
      <w:r>
        <w:t xml:space="preserve">De laag is geschikt om vast te leggen wat volgens welke bron is gepland, uitgevoerd, niet uitgevoerd of onbekend. Zij ondersteunt nog geen vergelijking van vogelontwikkeling per maatregelplot. De geëvalueerde bronnen melden bovendien geen afzonderlijke effectmeting per maatregel; uit de werkzaamhedenlaag volgt dus geen causaal beheereffect. De 144 bestaande regels in</w:t>
      </w:r>
      <w:r>
        <w:t xml:space="preserve"> </w:t>
      </w:r>
      <w:r>
        <w:rPr>
          <w:rStyle w:val="VerbatimChar"/>
        </w:rPr>
        <w:t xml:space="preserve">plot_jaar_maatregel</w:t>
      </w:r>
      <w:r>
        <w:t xml:space="preserve"> </w:t>
      </w:r>
      <w:r>
        <w:t xml:space="preserve">betreffen begrazing in 16 plots uit 1991–1999, zijn bij deze migratie inhoudelijk ongewijzigd gebleven en worden niet als onderdeel van de nieuwe bronvaste laag geteld.</w:t>
      </w:r>
    </w:p>
    <w:p>
      <w:pPr>
        <w:pStyle w:val="BodyText"/>
      </w:pPr>
      <w:r>
        <w:rPr>
          <w:b/>
          <w:bCs/>
        </w:rPr>
        <w:t xml:space="preserve">Status.</w:t>
      </w:r>
      <w:r>
        <w:t xml:space="preserve"> </w:t>
      </w:r>
      <w:r>
        <w:t xml:space="preserve">Bronvast op project-, uitvoering- en jaarniveau. De algemene kavel- en gebiedsindeling is geometrisch beschikbaar voor de 55 actuele plots uit 2025. Alleen Voorlinden heeft een gevalideerde maatregel–plotrelatie; omdat uitvoering in 2025 onbekend is, zijn nog geen maatregelen tot de bronvaste plot-jaarlaag toegelaten.</w:t>
      </w:r>
    </w:p>
    <w:p>
      <w:pPr>
        <w:pStyle w:val="Heading2"/>
      </w:pPr>
      <w:bookmarkStart w:id="56" w:name="_692b0a71312b2a939db271d079fb23757bfc15a"/>
      <w:r>
        <w:t xml:space="preserve">2. Bronnen in MySQL-database</w:t>
      </w:r>
      <w:r>
        <w:t xml:space="preserve"> </w:t>
      </w:r>
      <w:r>
        <w:rPr>
          <w:rStyle w:val="VerbatimChar"/>
        </w:rPr>
        <w:t xml:space="preserve">Meijendel_bronnen</w:t>
      </w:r>
      <w:bookmarkEnd w:id="56"/>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7" w:name="_7ae3f60e8dd3c65bdde3d5f608a55d96632a876"/>
      <w:r>
        <w:t xml:space="preserve">2.1. Duinvalleivegetatie</w:t>
      </w:r>
      <w:bookmarkEnd w:id="57"/>
    </w:p>
    <w:p>
      <w:pPr>
        <w:pStyle w:val="FirstParagraph"/>
      </w:pPr>
      <w:r>
        <w:rPr>
          <w:b/>
          <w:bCs/>
        </w:rPr>
        <w:t xml:space="preserve">Beheerder.</w:t>
      </w:r>
      <w:r>
        <w:t xml:space="preserve"> </w:t>
      </w:r>
      <w:r>
        <w:t xml:space="preserve">Openbare onderzoeksdataset,</w:t>
      </w:r>
      <w:r>
        <w:t xml:space="preserve"> </w:t>
      </w:r>
      <w:hyperlink r:id="rId58">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9" w:name="_6cd5cd3671e295c222d5bd4a47757f0a76f0a19"/>
      <w:r>
        <w:t xml:space="preserve">2.2. Vogelstand 1924</w:t>
      </w:r>
      <w:bookmarkEnd w:id="59"/>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0" w:name="_b3fdc40884db1bbf06132e666e117a731445140"/>
      <w:r>
        <w:t xml:space="preserve">2.3. Jachtspinnen</w:t>
      </w:r>
      <w:bookmarkEnd w:id="60"/>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1" w:name="_7c2c13aacf0ea926ee35ca97ab69391a3624a6f"/>
      <w:r>
        <w:t xml:space="preserve">2.4. Literatuuroverzicht</w:t>
      </w:r>
      <w:bookmarkEnd w:id="61"/>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2" w:name="_4a1f2475629c7656191227e4ca81566bef187e2"/>
      <w:r>
        <w:t xml:space="preserve">2.5. Bijenmonitoring in vier beheergebieden</w:t>
      </w:r>
      <w:bookmarkEnd w:id="62"/>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3" w:name="_bef92f685785a24a45e5325384551ba55c57cc1"/>
      <w:r>
        <w:t xml:space="preserve">2.6. Aquatische macrofauna 1974–1975</w:t>
      </w:r>
      <w:bookmarkEnd w:id="63"/>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4" w:name="_2b62b82ef201b4c91783bce15da2b1d0258c34c"/>
      <w:r>
        <w:t xml:space="preserve">3. Geïdentificeerde externe kandidaatbronnen</w:t>
      </w:r>
      <w:bookmarkEnd w:id="64"/>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5" w:name="_d53aceb4d9e4863cdbb6367737be5e291cdac65"/>
      <w:r>
        <w:t xml:space="preserve">Kandidaten met de grootste verwachte aanvulling</w:t>
      </w:r>
      <w:bookmarkEnd w:id="65"/>
    </w:p>
    <w:p>
      <w:pPr>
        <w:pStyle w:val="Heading4"/>
      </w:pPr>
      <w:bookmarkStart w:id="66" w:name="_bddce02f5cb2b082bf32fac381c8bc0ea5284d3"/>
      <w:r>
        <w:t xml:space="preserve">3.1. Historische en actuele ringgegevens</w:t>
      </w:r>
      <w:bookmarkEnd w:id="66"/>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7" w:name="_8071b7ae643e6cecadbf8a281c84bb90b511e63"/>
      <w:r>
        <w:t xml:space="preserve">3.2. Erosiepinnen in een stuifkuilcomplex</w:t>
      </w:r>
      <w:bookmarkEnd w:id="67"/>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8" w:name="_1b05a95cacb83608c9b762adcf4298810ed86f9"/>
      <w:r>
        <w:t xml:space="preserve">3.3. Langjarige droge-duinvegetatieplots</w:t>
      </w:r>
      <w:bookmarkEnd w:id="68"/>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0" w:name="_4578481a165cef1470f100d42a5e836ac7456f8"/>
      <w:r>
        <w:t xml:space="preserve">3.4.</w:t>
      </w:r>
      <w:r>
        <w:t xml:space="preserve"> </w:t>
      </w:r>
      <w:hyperlink r:id="rId69">
        <w:r>
          <w:rPr>
            <w:rStyle w:val="Hyperlink"/>
          </w:rPr>
          <w:t xml:space="preserve">Neuropteren van Meijendel</w:t>
        </w:r>
      </w:hyperlink>
      <w:bookmarkEnd w:id="70"/>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2" w:name="_642992b46f3d655730973d9bd57c00f9c7aad9f"/>
      <w:r>
        <w:t xml:space="preserve">3.5.</w:t>
      </w:r>
      <w:r>
        <w:t xml:space="preserve"> </w:t>
      </w:r>
      <w:hyperlink r:id="rId71">
        <w:r>
          <w:rPr>
            <w:rStyle w:val="Hyperlink"/>
          </w:rPr>
          <w:t xml:space="preserve">Zweefvliegen van Meijendel</w:t>
        </w:r>
      </w:hyperlink>
      <w:bookmarkEnd w:id="72"/>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3" w:name="_80b82bf48485caf594896b8d6bc490be5f328ee"/>
      <w:r>
        <w:t xml:space="preserve">3.6. TERRA-Dunes plant- en bodemmicrobiomen</w:t>
      </w:r>
      <w:bookmarkEnd w:id="73"/>
    </w:p>
    <w:p>
      <w:pPr>
        <w:pStyle w:val="FirstParagraph"/>
      </w:pPr>
      <w:r>
        <w:rPr>
          <w:b/>
          <w:bCs/>
        </w:rPr>
        <w:t xml:space="preserve">Eigenaar of uitgever.</w:t>
      </w:r>
      <w:r>
        <w:t xml:space="preserve"> </w:t>
      </w:r>
      <w:r>
        <w:t xml:space="preserve">Onderzoeksteam TERRA-Dunes,</w:t>
      </w:r>
      <w:r>
        <w:t xml:space="preserve"> </w:t>
      </w:r>
      <w:hyperlink r:id="rId74">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5" w:name="_4b2db10b2340db42e20505c45425c0b84f14c27"/>
      <w:r>
        <w:t xml:space="preserve">3.7. Rups- en bodemmicrobiomen</w:t>
      </w:r>
      <w:bookmarkEnd w:id="75"/>
    </w:p>
    <w:p>
      <w:pPr>
        <w:pStyle w:val="FirstParagraph"/>
      </w:pPr>
      <w:r>
        <w:rPr>
          <w:b/>
          <w:bCs/>
        </w:rPr>
        <w:t xml:space="preserve">Eigenaar of uitgever.</w:t>
      </w:r>
      <w:r>
        <w:t xml:space="preserve"> </w:t>
      </w:r>
      <w:r>
        <w:t xml:space="preserve">Onderzoeksteam,</w:t>
      </w:r>
      <w:r>
        <w:t xml:space="preserve"> </w:t>
      </w:r>
      <w:hyperlink r:id="rId76">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7" w:name="_442e94e4e2997aa133d10bf618574e2528e759d"/>
      <w:r>
        <w:t xml:space="preserve">3.8. Schimmels bij kruipwilg</w:t>
      </w:r>
      <w:bookmarkEnd w:id="77"/>
    </w:p>
    <w:p>
      <w:pPr>
        <w:pStyle w:val="FirstParagraph"/>
      </w:pPr>
      <w:r>
        <w:rPr>
          <w:b/>
          <w:bCs/>
        </w:rPr>
        <w:t xml:space="preserve">Eigenaar of uitgever.</w:t>
      </w:r>
      <w:r>
        <w:t xml:space="preserve"> </w:t>
      </w:r>
      <w:r>
        <w:t xml:space="preserve">Onderzoeksteam,</w:t>
      </w:r>
      <w:r>
        <w:t xml:space="preserve"> </w:t>
      </w:r>
      <w:hyperlink r:id="rId78">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9" w:name="_36e8e197a59cff4a0251b791dc5fc6bc0e135bf"/>
      <w:r>
        <w:t xml:space="preserve">3.9. Plantengroei, bodemvocht en weer</w:t>
      </w:r>
      <w:bookmarkEnd w:id="79"/>
    </w:p>
    <w:p>
      <w:pPr>
        <w:pStyle w:val="FirstParagraph"/>
      </w:pPr>
      <w:r>
        <w:rPr>
          <w:b/>
          <w:bCs/>
        </w:rPr>
        <w:t xml:space="preserve">Eigenaar of uitgever.</w:t>
      </w:r>
      <w:r>
        <w:t xml:space="preserve"> </w:t>
      </w:r>
      <w:r>
        <w:t xml:space="preserve">Wageningen University &amp; Research,</w:t>
      </w:r>
      <w:r>
        <w:t xml:space="preserve"> </w:t>
      </w:r>
      <w:hyperlink r:id="rId80">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1" w:name="_49ed5beca1c3c65272a43e85c3687f3c3d41d64"/>
      <w:r>
        <w:t xml:space="preserve">3.10. Genetische datasets amfibieën</w:t>
      </w:r>
      <w:bookmarkEnd w:id="81"/>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2" w:name="_136d668cd3b301eba92f27584d1a2d49d57a73c"/>
      <w:r>
        <w:t xml:space="preserve">3.11. Alleen context of nog een onderzoeksaanwijzing</w:t>
      </w:r>
      <w:bookmarkEnd w:id="82"/>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3">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2"/>
      </w:pPr>
      <w:bookmarkStart w:id="84" w:name="_c540a83ee65aaec11aa446aec0815d16fd21e21"/>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422e6271160c2b04a3b59fb5b59cfcc2e3afc55"/>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b05dec49988a12f7955d21ff17f1c91e4d061eb"/>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67781990bcb7d7d43cc312a7ef48f37a1f83265"/>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d7f889e2150e602eaeb242f489896c9b52af547"/>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a67120beb48c3916f8a53c623f303ce8b8a6005"/>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c96f79f2027e81b7ab280f9bf69df5af8bdf464"/>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3" Target="https://doi.org/10.1007/s10531-025-03175-x" TargetMode="External" /><Relationship Type="http://schemas.openxmlformats.org/officeDocument/2006/relationships/hyperlink" Id="rId78"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0" Target="https://doi.org/10.17026/DANS-28X-UT8Q" TargetMode="External" /><Relationship Type="http://schemas.openxmlformats.org/officeDocument/2006/relationships/hyperlink" Id="rId76" Target="https://doi.org/10.5061/dryad.8cz8w9gnc" TargetMode="External" /><Relationship Type="http://schemas.openxmlformats.org/officeDocument/2006/relationships/hyperlink" Id="rId58" Target="https://doi.org/10.5281/zenodo.21796880" TargetMode="External" /><Relationship Type="http://schemas.openxmlformats.org/officeDocument/2006/relationships/hyperlink" Id="rId74" Target="https://doi.org/10.6084/m9.figshare.25425601.v1" TargetMode="External" /><Relationship Type="http://schemas.openxmlformats.org/officeDocument/2006/relationships/hyperlink" Id="rId71" Target="https://repository.naturalis.nl/pub/317221" TargetMode="External" /><Relationship Type="http://schemas.openxmlformats.org/officeDocument/2006/relationships/hyperlink" Id="rId69" Target="https://repository.naturalis.nl/pub/317242" TargetMode="External" /><Relationship Type="http://schemas.openxmlformats.org/officeDocument/2006/relationships/hyperlink" Id="rId55"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2026-10-13T18:52:28Z</dcterms:created>
  <dcterms:modified xsi:type="dcterms:W3CDTF">2026-10-13T18:52:28Z</dcterms:modified>
</cp:coreProperties>
</file>

<file path=docProps/custom.xml><?xml version="1.0" encoding="utf-8"?>
<Properties xmlns="http://schemas.openxmlformats.org/officeDocument/2006/custom-properties" xmlns:vt="http://schemas.openxmlformats.org/officeDocument/2006/docPropsVTypes"/>
</file>