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BodyText"/>
      </w:pPr>
      <w:r>
        <w:rPr>
          <w:b/>
        </w:rPr>
        <w:t>Stand: 28 september 2026.</w:t>
      </w:r>
      <w:r>
        <w:t xml:space="preserve"> </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t>Taxonomisch register aangevuld, 27 september 2026 om 21:53 uur. De levende lokale database bevat nu 27 praktische groepen en 15.580 naamgebruiken en referenties. Daarvan zijn 14.663 registraties aan hun oorspronkelijke bron gebonden; 917 zijn gedeelde externe naamreferenties. De 18.437 bronbesluiten omvatten 18.350 actieve besluiten en 87 bewaarde eerdere versies.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r>
        <w:t>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r>
        <w:t>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r>
        <w:t>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r>
        <w:t>Er blijven 278 beoordeelde registraties zonder primaire groep. Bij 116 ontbreekt de onderbouwing voor de scheiding schimmels/korstmossen; bij 53 bevat een alternatieve naamtreffer onvolledige of afwijkende groepsinformatie; bij 50 ontbreekt een exacte referentienaam; bij 39 is de vertaling naar de lokale groepen niet eenduidig. Verder gaat het om acht verzamel- of onvolledig gedetermineerde begrippen, vijf slijmzwammen die niet bij de huidige groepsomschrijving passen, vier afwijkende naamnotaties en drie niet verder ingedeelde vlinderregistraties. Deze gegevens blijven bewaard. Een nauwkeuriger indeling vereist gerichte onderbouwing; een geforceerde keuze zou het register minder betrouwbaar maken.</w:t>
      </w:r>
    </w:p>
    <w:p>
      <w:pPr/>
      <w:r>
        <w:t>Twee actieve bronvermeldingen blijven zonder doeltaxon: Naturalis-Indet. benoemt geen taxon; bij Toendrarietgans ontbreekt de wetenschappelijke bronnaam en strookt lokale code 1582 niet met de actuele EURING-code 01574. De 263 oorspronkelijke vogelnaamgebruiken en hun koppelingen zijn ongewijzigd. Alle 249 overige tabellen en bijbehorende databaseobjecten zijn vóór en na de aanvulling identiek. Website, dashboard en Shiny zijn niet aangepast. De veilige registeraanvulling is uitgevoerd en gecontroleerd met een terugdraaiproef en nacontrole. Details en herstelbewijs staan in docs/database/TAXONREGISTER.md.</w:t>
      </w:r>
    </w:p>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BodyText"/>
      </w:pPr>
      <w:r>
        <w:rPr>
          <w:b/>
        </w:rPr>
        <w:t>PQ-integratie, 27–28 september 2026.</w:t>
      </w:r>
      <w:r>
        <w:t xml:space="preserve"> 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bookmarkEnd w:id="38"/>
    <w:bookmarkStart w:id="39" w:name="Xa66e2be297c2cf82b37e3e4b59e101c55a2b789"/>
    <w:p>
      <w:pPr>
        <w:pStyle w:val="BodyText"/>
      </w:pPr>
      <w:r>
        <w:rPr>
          <w:b/>
        </w:rPr>
        <w:t>Overlap en gebruik.</w:t>
      </w:r>
      <w:r>
        <w:t xml:space="preserve"> 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rPr>
        <w:t>PQ-broncontrole, 27 september 2026.</w:t>
      </w:r>
      <w:r>
        <w:t xml:space="preserve"> 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 gis/scripts/run_external_ecology_overlap_audit.py --pq-inventarisatie. Uitvoeringsbewijs en gecontroleerde herstelback-up staan lokaal onder outputs/pq-integratie.</w:t>
      </w:r>
    </w:p>
    <w:p>
      <w:pPr>
        <w:pStyle w:val="BodyText"/>
      </w:pPr>
      <w:r>
        <w:rPr>
          <w:b/>
        </w:rPr>
        <w:t>Taxonomische importbeperking, vastgesteld 27 september 2026.</w:t>
      </w:r>
      <w:r>
        <w:t xml:space="preserve"> De oorspronkelijke import gebruikte bij alle 81.310 toegelaten LVD-resultaten (1959–2015; 998 verschillende naamstrings) een status als taxonrang: 81.285 keer accepted en 25 keer synonym. De oorspronkelijke status blijft ook in de bronmetadata bewaard. Bij de 16.627 verplaatste resultaten heet dit veld nu taxonomische_status_aangeleverd; hun werkelijke taxonrang komt uit het centrale register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 docs/database/TAXONREGISTER.md voor model, controles en herstelwijze.</w:t>
      </w:r>
    </w:p>
    <w:p>
      <w:pPr/>
      <w:r>
        <w:t>Aanvullende taxonomische metadata, beoordeeld 27 september 2026. In de extractie van 998 LVD-naamgebruiken uit de bronreeks 1959–2015 is bij 122 het veld scientificNameAuthorship gelijk aan de volledige scientificName. Manifest v3 heeft deze tekst niet als auteur overgenomen: het centrale veld naam_auteur blijft voor deze 122 naamgebruiken leeg.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bookmarkEnd w:id="53"/>
    <w:bookmarkStart w:id="54" w:name="Xb3fdc40884db1bbf06132e666e117a731445140"/>
    <w:p>
      <w:pPr>
        <w:pStyle w:val="BodyText"/>
      </w:pPr>
      <w:r>
        <w:rPr>
          <w:b/>
        </w:rPr>
        <w:t>Waarde en beperking.</w:t>
      </w:r>
      <w:r>
        <w:t xml:space="preserve"> Historische vogelcontext. Zonder locatie per regel geen kavel- of ruimtelijke analyse. Het productieoverzicht van 28 september 2026 toont daarnaast een bestaande tabel vogelstand_1924 buiten de canonieke export. Deze blijft tijdens de PQ-publicatie onaangetast; haar aanwezigheid geeft geen nieuwe analysetoestemming. Dit schema-overzicht bewijst de tabelnaam en het type, niet haar actuele rijtelling.</w:t>
      </w:r>
    </w:p>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bookmarkEnd w:id="82"/>
    <w:bookmarkStart w:id="83" w:name="Xa67120beb48c3916f8a53c623f303ce8b8a6005"/>
    <w:p>
      <w:pPr>
        <w:pStyle w:val="BodyText"/>
      </w:pPr>
      <w:r>
        <w:rPr>
          <w:b/>
        </w:rPr>
        <w:t>Landelijke Vegetatie Databank: uitgevoerd voor de reproduceerbare bronversie 1.6.</w:t>
      </w:r>
      <w:r>
        <w:t xml:space="preserve"> 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 Meijendel_bronnen.</w:t>
      </w:r>
    </w:p>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