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BodyText"/>
      </w:pPr>
      <w:r>
        <w:rPr>
          <w:b/>
        </w:rPr>
        <w:t>Stand: 29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rPr>
          <w:b/>
        </w:rPr>
        <w:t>Taxonomisch register aangevuld en centraal opgeschoond, stand 29 september 2026.</w:t>
      </w:r>
      <w:r>
        <w:t xml:space="preserve"> De levende lokale database bevat nu 27 praktische groepen en 13.421 centrale naamvermeldingen. De tabel met bronkoppelingen bevat 21.799 rijen: alle 18.437 oorspronkelijke bronbesluiten, drie eerdere identificatie-aliassen en 3.359 volledig bewaarde oorspronkelijke taxoncontexten.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rPr>
        <w:t>Gerichte taxonfusie, 28 en 29 september 2026.</w:t>
      </w:r>
      <w:r>
        <w:t xml:space="preserve"> Na de eerste samenvoeging van drie Naturalis-keverregistraties zijn op 29 september in 1.203 naamgroepen nog 2.156 dubbele centrale rijen samengebracht. Ook Glaucium flavum staat nu één keer centraal. Alle oorspronkelijke waarden en bronkoppelingnummers zijn behouden; oude taxonnummers en UUIDs blijven met hun oorspronkelijke context herleidbaar. De meetrecords, perioden, locatiekwaliteit, rechten en analysegeschiktheid zijn niet veranderd. Volledige back-up, fusieproef, terugdraaien, volledig herstel en levende nacontrole zijn geslaagd. De overige 251 tabellen en alle 16 viewuitkomsten zijn ongewijzigd. Alle 18.351 geteste bestaande bronidentiteiten vinden bij herhaling hun bestaande koppeling terug. Er is niets naar de VPS gepubliceerd. De lijst is nog niet geheel ontdubbeld: 751 naamgroepen met samen 1.960 rijen vragen verdere beoordeling van naamgenoten, auteurschap, classificatie of determinatieniveau. Zij zijn niet allemaal bewezen verschillende taxa. Selectie, redenen en herstelbewijs staan in docs/database/TAXONREGISTER.md.</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zijn volledig bewaard en hun koppelingnummers blijven gelijk. Bij de registeraanvulling van 27 september waren alle 249 toenmalige overige tabellen en bijbehorende databaseobjecten vóór en na de aanvulling identiek. Bij de centralisatie van 29 september geldt dat voor de inmiddels 251 overige tabellen. Website, dashboard en Shiny zijn niet aangepast. Beide uitvoeringen zijn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27–28 september 2026.</w:t>
      </w:r>
      <w:r>
        <w:t xml:space="preserve"> 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BodyText"/>
      </w:pPr>
      <w:r>
        <w:rPr>
          <w:b/>
        </w:rPr>
        <w:t>Vangblik-opschoning, 28 september 2026.</w:t>
      </w:r>
      <w:r>
        <w:t xml:space="preserve"> De 60.560 vangstregels uit 1953–1960 zijn lokaal rechtstreeks verbonden met het centrale taxonregister. De 275 oorspronkelijke taxonvermeldingen zijn daar met alle bronvelden behouden; de afzonderlijke tabel vangblik_soorten 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werkelijke taxonrang komt uit het centrale register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