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rPr>
          <w:b/>
          <w:bCs/>
        </w:rPr>
        <w:t xml:space="preserve">Stand: 15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1" w:name="_4a53154a1633e588416373f70b0c468114c0efc"/>
      <w:r>
        <w:t xml:space="preserve">Overkoepelende analysegeschiktheid</w:t>
      </w:r>
      <w:bookmarkEnd w:id="11"/>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2" w:name="_beheerregel"/>
      <w:r>
        <w:t xml:space="preserve">Beheerregel</w:t>
      </w:r>
      <w:bookmarkEnd w:id="12"/>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3" w:name="_7243eacc1b8f4fc7d12d9437ed06490b9a892ca"/>
      <w:r>
        <w:t xml:space="preserve">1. Bronnen in MySQL-database</w:t>
      </w:r>
      <w:r>
        <w:t xml:space="preserve"> </w:t>
      </w:r>
      <w:r>
        <w:rPr>
          <w:rStyle w:val="VerbatimChar"/>
        </w:rPr>
        <w:t xml:space="preserve">Meijendel</w:t>
      </w:r>
      <w:bookmarkEnd w:id="13"/>
    </w:p>
    <w:p>
      <w:pPr>
        <w:pStyle w:val="Heading3"/>
      </w:pPr>
      <w:bookmarkStart w:id="14" w:name="_ccd8cb4345e3f59364194a2576f706cc2c0a66e"/>
      <w:r>
        <w:t xml:space="preserve">1.1. Vogelgegevens van Vogelwerkgroep Meijendel en SOVON</w:t>
      </w:r>
      <w:bookmarkEnd w:id="14"/>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5" w:name="_8a72a17aa3ecdd9f667bccd1a9ca55413034b5d"/>
      <w:r>
        <w:t xml:space="preserve">1.2. Provinciale permanente kwadraten</w:t>
      </w:r>
      <w:bookmarkEnd w:id="15"/>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Heading3"/>
      </w:pPr>
      <w:bookmarkStart w:id="16" w:name="_ded6c184b9a569c146345b6e935b052f391caf7"/>
      <w:r>
        <w:t xml:space="preserve">1.3. Zoogdieren tijdens SOVON- en VWG-bezoeken</w:t>
      </w:r>
      <w:bookmarkEnd w:id="16"/>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7" w:name="_94090b81dff39a8cf27d4389271118caece3ef6"/>
      <w:r>
        <w:t xml:space="preserve">1.4. Historisch vangblikonderzoek</w:t>
      </w:r>
      <w:bookmarkEnd w:id="17"/>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8">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19" w:name="_003d1b4454050d8b2300662d18ee0e6097f4328"/>
      <w:r>
        <w:t xml:space="preserve">1.5. NDFF: één canonieke laag van openbare en beveiligde gegevens</w:t>
      </w:r>
      <w:bookmarkEnd w:id="19"/>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0" w:name="_dagvlinders"/>
      <w:r>
        <w:t xml:space="preserve">1.5.1. Dagvlinders</w:t>
      </w:r>
      <w:bookmarkEnd w:id="20"/>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1" w:name="_hommels"/>
      <w:r>
        <w:t xml:space="preserve">1.5.2. Hommels</w:t>
      </w:r>
      <w:bookmarkEnd w:id="21"/>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2" w:name="_libellen"/>
      <w:r>
        <w:t xml:space="preserve">1.5.3. Libellen</w:t>
      </w:r>
      <w:bookmarkEnd w:id="22"/>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Heading4"/>
      </w:pPr>
      <w:bookmarkStart w:id="23" w:name="_nachtvlinders"/>
      <w:r>
        <w:t xml:space="preserve">1.5.4. Nachtvlinders</w:t>
      </w:r>
      <w:bookmarkEnd w:id="23"/>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4" w:name="_amfibieën"/>
      <w:r>
        <w:t xml:space="preserve">1.5.5. Amfibieën</w:t>
      </w:r>
      <w:bookmarkEnd w:id="24"/>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5" w:name="_reptielen"/>
      <w:r>
        <w:t xml:space="preserve">1.5.6. Reptielen</w:t>
      </w:r>
      <w:bookmarkEnd w:id="25"/>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6" w:name="_vissen"/>
      <w:r>
        <w:t xml:space="preserve">1.5.7. Vissen</w:t>
      </w:r>
      <w:bookmarkEnd w:id="26"/>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7" w:name="_vleermuistransecten"/>
      <w:r>
        <w:t xml:space="preserve">1.5.8. Vleermuistransecten</w:t>
      </w:r>
      <w:bookmarkEnd w:id="27"/>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8" w:name="_38cdc6eff084869e7169beb9a7d0a36448859a3"/>
      <w:r>
        <w:t xml:space="preserve">1.5.9. Konijnentellingen in de duinen</w:t>
      </w:r>
      <w:bookmarkEnd w:id="28"/>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29" w:name="_b7507ab25f19a705cdaea288841b95e0326cd82"/>
      <w:r>
        <w:t xml:space="preserve">1.5.10. Wintertellingen vleermuizen</w:t>
      </w:r>
      <w:bookmarkEnd w:id="29"/>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0" w:name="_ba761ed76f0837e5aa40881d1ff3dfd4f2a2564"/>
      <w:r>
        <w:t xml:space="preserve">1.5.11. Het Nieuwe Strepen</w:t>
      </w:r>
      <w:bookmarkEnd w:id="30"/>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1" w:name="_add682eaf9770b54759a1b54720dedd522bc07f"/>
      <w:r>
        <w:t xml:space="preserve">1.5.12. FLORBASE en andere vaatplantinventarisaties</w:t>
      </w:r>
      <w:bookmarkEnd w:id="31"/>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2" w:name="_ddc09a389d1414cf9c368e3f96b3cd144167922"/>
      <w:r>
        <w:t xml:space="preserve">1.5.13. LMF-aandachtssoorten</w:t>
      </w:r>
      <w:bookmarkEnd w:id="32"/>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3" w:name="_54b0c9881ebf1c9c32ceb4f54ebc7dcb81d8783"/>
      <w:r>
        <w:t xml:space="preserve">1.5.14. Mossen en korstmossen</w:t>
      </w:r>
      <w:bookmarkEnd w:id="33"/>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Nieuwe primaire bron, 8 oktober 2026.</w:t>
      </w:r>
      <w:r>
        <w:t xml:space="preserve"> </w:t>
      </w:r>
      <w:r>
        <w:t xml:space="preserve">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w:t>
      </w:r>
      <w:r>
        <w:t xml:space="preserve"> </w:t>
      </w:r>
      <w:r>
        <w:rPr>
          <w:rStyle w:val="VerbatimChar"/>
        </w:rPr>
        <w:t xml:space="preserve">Kwantiteit</w:t>
      </w:r>
      <w:r>
        <w:t xml:space="preserve">, met vijf van de zes mogelijke klassen in deze selectie. Het rapportagejaar loopt meestal één jaar achter op de feitelijke velddatum; analyses gebruiken de velddatum.</w:t>
      </w:r>
    </w:p>
    <w:p>
      <w:pPr>
        <w:pStyle w:val="BodyText"/>
      </w:pPr>
      <w:r>
        <w:rPr>
          <w:b/>
          <w:bCs/>
        </w:rPr>
        <w:t xml:space="preserve">Vergelijking met NDFF.</w:t>
      </w:r>
      <w:r>
        <w:t xml:space="preserve"> </w:t>
      </w:r>
      <w:r>
        <w:t xml:space="preserve">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w:t>
      </w:r>
      <w:r>
        <w:t xml:space="preserve"> </w:t>
      </w:r>
      <w:r>
        <w:rPr>
          <w:i/>
          <w:iCs/>
        </w:rPr>
        <w:t xml:space="preserve">Usnea articulata</w:t>
      </w:r>
      <w:r>
        <w:t xml:space="preserve"> </w:t>
      </w:r>
      <w:r>
        <w:t xml:space="preserve">en drie verschillen alleen in de gebruikte wetenschappelijke naam. Die twintig regels en de precieze plotlocatie mogen niet in openbare afgeleide tabellen terechtkomen. De bron is ontvangen maar nog niet geïmporteerd.</w:t>
      </w:r>
    </w:p>
    <w:p>
      <w:pPr>
        <w:pStyle w:val="BodyText"/>
      </w:pPr>
      <w:r>
        <w:rPr>
          <w:b/>
          <w:bCs/>
        </w:rPr>
        <w:t xml:space="preserve">Wat kan nu?</w:t>
      </w:r>
      <w:r>
        <w:t xml:space="preserve"> </w:t>
      </w:r>
      <w:r>
        <w:t xml:space="preserve">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Pr>
          <w:b/>
          <w:bCs/>
        </w:rPr>
        <w:t xml:space="preserve">Wat ontbreekt nog?</w:t>
      </w:r>
      <w:r>
        <w:t xml:space="preserve"> </w:t>
      </w:r>
      <w:r>
        <w:t xml:space="preserve">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bookmarkStart w:id="34" w:name="_1bea655362975aef3d944c226fffca3cc18312c"/>
      <w:r>
        <w:t xml:space="preserve">1.5.15. Bos- en zeereeppaddenstoelen</w:t>
      </w:r>
      <w:bookmarkEnd w:id="34"/>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5" w:name="_weekdieren"/>
      <w:r>
        <w:t xml:space="preserve">1.5.16. Weekdieren</w:t>
      </w:r>
      <w:bookmarkEnd w:id="35"/>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6" w:name="_1879253ee2dfd52031c9d63749e2737783da88e"/>
      <w:r>
        <w:t xml:space="preserve">1.5.17. SNL-gebiedsmonitoring</w:t>
      </w:r>
      <w:bookmarkEnd w:id="36"/>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7" w:name="_3dde7cd9c0fbcfd44f499ab6a6ef5cfd62b0862"/>
      <w:r>
        <w:t xml:space="preserve">1.6. Openbare externe ecologiebronnen</w:t>
      </w:r>
      <w:bookmarkEnd w:id="37"/>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8">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9">
        <w:r>
          <w:rPr>
            <w:rStyle w:val="Hyperlink"/>
          </w:rPr>
          <w:t xml:space="preserve">het taxonregister</w:t>
        </w:r>
      </w:hyperlink>
      <w:r>
        <w:t xml:space="preserve">.</w:t>
      </w:r>
    </w:p>
    <w:p>
      <w:pPr>
        <w:pStyle w:val="Heading4"/>
      </w:pPr>
      <w:bookmarkStart w:id="40" w:name="_9c98e6e0799dea8eed6786abf4e9090b0506343"/>
      <w:r>
        <w:t xml:space="preserve">1.6.1. STOWA Limnodata</w:t>
      </w:r>
      <w:bookmarkEnd w:id="40"/>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1" w:name="_7810a275271da51e128daf1eadaca77f875310a"/>
      <w:r>
        <w:t xml:space="preserve">1.6.2. ENDURE helmduinfauna</w:t>
      </w:r>
      <w:bookmarkEnd w:id="41"/>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2" w:name="_5a504ff8abd850ffc7704ce23c8f7bb19f98000"/>
      <w:r>
        <w:t xml:space="preserve">1.6.3. Landelijke Vegetatie Databank</w:t>
      </w:r>
      <w:bookmarkEnd w:id="42"/>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3" w:name="_a4b8938f650cad67af8384aa358648ef6881db5"/>
      <w:r>
        <w:t xml:space="preserve">1.6.4. Historische vlinder- en motcollectie</w:t>
      </w:r>
      <w:bookmarkEnd w:id="43"/>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4" w:name="_b06cb21dbe9ca56883ae8ed5d3f986798494e94"/>
      <w:r>
        <w:t xml:space="preserve">1.6.5. Naturalis Botany</w:t>
      </w:r>
      <w:bookmarkEnd w:id="44"/>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5" w:name="_335dc587b878851a017369d1c1c7e74fa2018ad"/>
      <w:r>
        <w:t xml:space="preserve">1.6.6. Naturalis Coleoptera</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6" w:name="_5d611a31ac68a696fd179c2c85c282500afefc7"/>
      <w:r>
        <w:t xml:space="preserve">1.7. Openstaande ruimtelijke toelatingscontrole</w:t>
      </w:r>
      <w:bookmarkEnd w:id="46"/>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7" w:name="_6e396c95ed446dc595f32661c45d91742a47fe5"/>
      <w:r>
        <w:t xml:space="preserve">1.8. Verklarende omgevingslagen</w:t>
      </w:r>
      <w:bookmarkEnd w:id="47"/>
    </w:p>
    <w:p>
      <w:pPr>
        <w:pStyle w:val="FirstParagraph"/>
      </w:pPr>
      <w:r>
        <w:t xml:space="preserve">Deze gegevens zijn geen soortenwaarnemingen. Zij kunnen wel helpen om ecologische veranderingen te beschrijven of als mogelijke verklaring te toetsen.</w:t>
      </w:r>
    </w:p>
    <w:p>
      <w:pPr>
        <w:pStyle w:val="Heading4"/>
      </w:pPr>
      <w:bookmarkStart w:id="48" w:name="_bb0c62bd471c774923f07d8b7b6f705ce2e805a"/>
      <w:r>
        <w:t xml:space="preserve">1.8.1. Dagelijks weer</w:t>
      </w:r>
      <w:bookmarkEnd w:id="48"/>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p>
      <w:pPr>
        <w:pStyle w:val="Heading4"/>
      </w:pPr>
      <w:bookmarkStart w:id="49" w:name="_hoogte"/>
      <w:r>
        <w:t xml:space="preserve">1.8.2. Hoogte</w:t>
      </w:r>
      <w:bookmarkEnd w:id="49"/>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p>
      <w:pPr>
        <w:pStyle w:val="Heading4"/>
      </w:pPr>
      <w:bookmarkStart w:id="50" w:name="_stikstofdepositie"/>
      <w:r>
        <w:t xml:space="preserve">1.8.3. Stikstofdepositie</w:t>
      </w:r>
      <w:bookmarkEnd w:id="50"/>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p>
      <w:pPr>
        <w:pStyle w:val="Heading4"/>
      </w:pPr>
      <w:bookmarkStart w:id="51" w:name="_bodemgebruik"/>
      <w:r>
        <w:t xml:space="preserve">1.8.4. Bodemgebruik</w:t>
      </w:r>
      <w:bookmarkEnd w:id="51"/>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p>
      <w:pPr>
        <w:pStyle w:val="Heading4"/>
      </w:pPr>
      <w:bookmarkStart w:id="52" w:name="_6205564c333359604d547302ef9994dbae8e150"/>
      <w:r>
        <w:t xml:space="preserve">1.8.5. Natura 2000-habitat</w:t>
      </w:r>
      <w:bookmarkEnd w:id="52"/>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Heading3"/>
      </w:pPr>
      <w:bookmarkStart w:id="53" w:name="_55651eaef6a7220015a2870e55a9e8e9e62256a"/>
      <w:r>
        <w:t xml:space="preserve">1.9. Werkzaamheden en beheermaatregelen</w:t>
      </w:r>
      <w:bookmarkEnd w:id="53"/>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zeventien aanvullende Zotero-bronnen ingevoerd: de vogelrapporten over 1967, 1968, 1969, 1972, 1973, 1974 en 1975; de rietpotenproef uit 1987/1992; publicaties over begrazing uit 2008 en 2012;</w:t>
      </w:r>
      <w:r>
        <w:t xml:space="preserve"> </w:t>
      </w:r>
      <w:r>
        <w:rPr>
          <w:i/>
          <w:iCs/>
        </w:rPr>
        <w:t xml:space="preserve">Vegetatieontwikkeling in duinvalleien van Meijendel na opheffen van infiltratieplassen</w:t>
      </w:r>
      <w:r>
        <w:t xml:space="preserve"> </w:t>
      </w:r>
      <w:r>
        <w:t xml:space="preserve">uit 2003; natuurherstel uit 2005; slib in infiltratieplassen uit 2005; Plas 20.1 uit 2006;</w:t>
      </w:r>
      <w:r>
        <w:t xml:space="preserve"> </w:t>
      </w:r>
      <w:r>
        <w:rPr>
          <w:i/>
          <w:iCs/>
        </w:rPr>
        <w:t xml:space="preserve">Holland’s Duinen</w:t>
      </w:r>
      <w:r>
        <w:t xml:space="preserve"> </w:t>
      </w:r>
      <w:r>
        <w:t xml:space="preserve">86 uit 2025 met de kaart van de dagvlinderroute Parnassiapad;</w:t>
      </w:r>
      <w:r>
        <w:t xml:space="preserve"> </w:t>
      </w:r>
      <w:r>
        <w:rPr>
          <w:i/>
          <w:iCs/>
        </w:rPr>
        <w:t xml:space="preserve">Meijendel Mededelingen</w:t>
      </w:r>
      <w:r>
        <w:t xml:space="preserve"> </w:t>
      </w:r>
      <w:r>
        <w:t xml:space="preserve">30 uit november 1996 met de expliciete plaatsing van Sprang PI in M13s en van het betrokken rietgebied in M13s en M14; en</w:t>
      </w:r>
      <w:r>
        <w:t xml:space="preserve"> </w:t>
      </w:r>
      <w:r>
        <w:rPr>
          <w:i/>
          <w:iCs/>
        </w:rPr>
        <w:t xml:space="preserve">Holland’s Duinen</w:t>
      </w:r>
      <w:r>
        <w:t xml:space="preserve"> </w:t>
      </w:r>
      <w:r>
        <w:t xml:space="preserve">88 uit april 2026 met de afgeronde herinrichting van Bendel. Samen met de zes al gebruikte Zotero-bronnen bevat</w:t>
      </w:r>
      <w:r>
        <w:t xml:space="preserve"> </w:t>
      </w:r>
      <w:r>
        <w:rPr>
          <w:rStyle w:val="VerbatimChar"/>
        </w:rPr>
        <w:t xml:space="preserve">maatregel_bron</w:t>
      </w:r>
      <w:r>
        <w:t xml:space="preserve"> </w:t>
      </w:r>
      <w:r>
        <w:t xml:space="preserve">nu 23 lokale Zotero-bronnen. Dubbele exemplaren, algemene gebiedsbeschrijvingen, uitsluitend voorgenomen werk en niet-lokaliseerbare vermeldingen zijn niet als afzonderlijke uitvoering ingevoerd.</w:t>
      </w:r>
    </w:p>
    <w:p>
      <w:pPr>
        <w:pStyle w:val="BodyText"/>
      </w:pPr>
      <w:r>
        <w:t xml:space="preserve">Daarbij zijn tien officiële internetbronnen geraadpleegd: vijf Dunea-pagina’s over optimalisatie van de waterwinning, beheer in Meeuwenduin en Prinsenduin, vervanging van slagbomen, actuele werkzaamheden en duindynamiek; het Dunea-jaarverslag 2024; het Zuid-Hollandse subsidie-openstellingsbesluit voor Bendel; de Staatsbosbeheer-pagina over de herinrichting van Bendel; de ODH-beschikking van 28 augustus 2023 voor de konijnenbijplaatsingsproef; en de ODH-beschikking van 5 november 2025 voor de renovatie van de Paardenstal.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 xml:space="preserve">De levende lokale database bevat 18 projecten, 33 bronnen, 63 uitvoeringen, 102 expliciete jaarbeoordelingen uit 1967–2026 en 86 bronkoppelingen. Van de jaarbeoordelingen zijn er 86</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uitvoering in Meeuwenduin en Prinsenduin is gesplitst: 2023 betreft beide naamgebieden; 2024 uitsluitend Prinsenduin. De nieuwe invoer voegt 28 feitelijke uitvoeringen uit 1967–2006 toe. Zij betreft waterwinning en infiltratieplassen, pad- en rasterwerk, zandvastlegging, de rietpotenproef, begrazing, maaien, plaggen en slibverwijdering.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 De afzonderlijke herinrichting van Bendel is voor 2025 en 2026 als uitgevoerd vastgelegd, maar ligt buiten het Meijendel-plotgebied.</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4">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exacte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w:t>
      </w:r>
      <w:r>
        <w:t xml:space="preserve"> </w:t>
      </w:r>
      <w:r>
        <w:rPr>
          <w:rStyle w:val="VerbatimChar"/>
        </w:rPr>
        <w:t xml:space="preserve">maatregel_plot_koppeling</w:t>
      </w:r>
      <w:r>
        <w:t xml:space="preserve"> </w:t>
      </w:r>
      <w:r>
        <w:t xml:space="preserve">bevat 124 geverifieerde directe relaties. Daarvan waren 36 al onderbouwd met expliciete kavelvermeldingen, gebruikersvaststellingen of een bijzondere gebiedsnaam. De nameninventaris voegt 32 geometrische doorsnijdingen toe voor zes volledig en letterlijk gelokaliseerde uitvoeringen met de naamobjecten Kijfhoek, Bierlap, Meeuwenhoek, Tafelberg, ’t Scheepje, Uilenbosch en Oude Rijs uit</w:t>
      </w:r>
      <w:r>
        <w:t xml:space="preserve"> </w:t>
      </w:r>
      <w:r>
        <w:rPr>
          <w:rStyle w:val="VerbatimChar"/>
        </w:rPr>
        <w:t xml:space="preserve">meijendel_nameninventaris_2026-10-14</w:t>
      </w:r>
      <w:r>
        <w:t xml:space="preserve">. Daarnaast zijn elf relaties toegevoegd voor de al vastgestelde volledige systemen Pan 13 en Plas 20. De begrazing van de Helmduinen vanaf eind 1991 is op 14 oktober 2026 door Ton gekoppeld aan M15, M16 en M17a. M16 omvat het grootste deel; M15 en M17a zijn gedeeltelijk betrokken. De begrazing loopt volgens deze gebruikersvaststelling tot heden door. Omdat de bron geen oppervlakte per kavel geeft, blijft</w:t>
      </w:r>
      <w:r>
        <w:t xml:space="preserve"> </w:t>
      </w:r>
      <w:r>
        <w:rPr>
          <w:rStyle w:val="VerbatimChar"/>
        </w:rPr>
        <w:t xml:space="preserve">doorsnijding_pct</w:t>
      </w:r>
      <w:r>
        <w:t xml:space="preserve"> </w:t>
      </w:r>
      <w:r>
        <w:t xml:space="preserve">voor alle drie leeg. De geometrische naamkoppelingen gebruiken de actuele SOVON-plotgeometrie</w:t>
      </w:r>
      <w:r>
        <w:t xml:space="preserve"> </w:t>
      </w:r>
      <w:r>
        <w:rPr>
          <w:rStyle w:val="VerbatimChar"/>
        </w:rPr>
        <w:t xml:space="preserve">sovon-avimap-2025-download-2026-10-02</w:t>
      </w:r>
      <w:r>
        <w:t xml:space="preserve">. Een doorsnijding bewijst dat het genoemde naamgebied de plot raakt, niet welk percentage van de plot feitelijk is bewerkt;</w:t>
      </w:r>
      <w:r>
        <w:t xml:space="preserve"> </w:t>
      </w:r>
      <w:r>
        <w:rPr>
          <w:rStyle w:val="VerbatimChar"/>
        </w:rPr>
        <w:t xml:space="preserve">doorsnijding_pct</w:t>
      </w:r>
      <w:r>
        <w:t xml:space="preserve"> </w:t>
      </w:r>
      <w:r>
        <w:t xml:space="preserve">blijft daarom leeg.</w:t>
      </w:r>
    </w:p>
    <w:p>
      <w:pPr>
        <w:pStyle w:val="BodyText"/>
      </w:pPr>
      <w:r>
        <w:t xml:space="preserve">De grote dunning van het Ganzenhoekbos in 2017 is gekoppeld aan M77 en M78/79. De Natura 2000-evaluatie van 25 april 2025 bevat hiervoor één uitvoeringsregel en één jaarregel. De actuele Ganzenhoek-geometrie raakt ook M13s, maar Ton heeft op 15 oktober 2026 bepaald dat deze dunning niet aan M13s wordt toegeschreven. De exacte werkvoetafdruk binnen M77 en M78/79 is niet bekend;</w:t>
      </w:r>
      <w:r>
        <w:t xml:space="preserve"> </w:t>
      </w:r>
      <w:r>
        <w:rPr>
          <w:rStyle w:val="VerbatimChar"/>
        </w:rPr>
        <w:t xml:space="preserve">doorsnijding_pct</w:t>
      </w:r>
      <w:r>
        <w:t xml:space="preserve"> </w:t>
      </w:r>
      <w:r>
        <w:t xml:space="preserve">blijft daarom leeg.</w:t>
      </w:r>
    </w:p>
    <w:p>
      <w:pPr>
        <w:pStyle w:val="BodyText"/>
      </w:pPr>
      <w:r>
        <w:t xml:space="preserve">Het jaarlijkse aanvullende maaibeheer van in totaal drie hectare in Ruijgenhoek, Langestrook en De Loopert is gekoppeld aan M32, M45 en M83. Ton lokaliseerde Ruygenhoek op 15 oktober 2026 in M32. De actuele TOP10NL-geometrie van De Loopert raakt M45 en M83. Langestrook blijft niet gelokaliseerd en wordt niet aan een kavel toegeschreven. De Natura 2000-evaluatie van 25 april 2025 vermeldt dat jaarlijks is gemaaid en dat Dunea het beheer voortzet, maar geeft geen vaststelbare beginjaren, afzonderlijke uitvoeringsjaren of verdeling van de drie hectare. Daarom blijven de jaarlaag en</w:t>
      </w:r>
      <w:r>
        <w:t xml:space="preserve"> </w:t>
      </w:r>
      <w:r>
        <w:rPr>
          <w:rStyle w:val="VerbatimChar"/>
        </w:rPr>
        <w:t xml:space="preserve">doorsnijding_pct</w:t>
      </w:r>
      <w:r>
        <w:t xml:space="preserve"> </w:t>
      </w:r>
      <w:r>
        <w:t xml:space="preserve">leeg.</w:t>
      </w:r>
    </w:p>
    <w:p>
      <w:pPr>
        <w:pStyle w:val="BodyText"/>
      </w:pPr>
      <w:r>
        <w:t xml:space="preserve">De uitbreiding van het begrazingsgebied met de Kikkervalleien is gekoppeld aan M13, M13s en M14.</w:t>
      </w:r>
      <w:r>
        <w:t xml:space="preserve"> </w:t>
      </w:r>
      <w:r>
        <w:rPr>
          <w:i/>
          <w:iCs/>
        </w:rPr>
        <w:t xml:space="preserve">Holland’s Duinen</w:t>
      </w:r>
      <w:r>
        <w:t xml:space="preserve"> </w:t>
      </w:r>
      <w:r>
        <w:t xml:space="preserve">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w:t>
      </w:r>
      <w:r>
        <w:t xml:space="preserve"> </w:t>
      </w:r>
      <w:r>
        <w:rPr>
          <w:rStyle w:val="VerbatimChar"/>
        </w:rPr>
        <w:t xml:space="preserve">doorsnijding_pct</w:t>
      </w:r>
      <w:r>
        <w:t xml:space="preserve"> </w:t>
      </w:r>
      <w:r>
        <w:t xml:space="preserve">blijft daarom leeg.</w:t>
      </w:r>
    </w:p>
    <w:p>
      <w:pPr>
        <w:pStyle w:val="BodyText"/>
      </w:pPr>
      <w:r>
        <w:t xml:space="preserve">De verwijdering van vegetatie en voedselrijke bovengrond in de Kikkervalleien in het najaar van 1997 is eveneens gekoppeld aan M13, M13s en M14.</w:t>
      </w:r>
      <w:r>
        <w:t xml:space="preserve"> </w:t>
      </w:r>
      <w:r>
        <w:rPr>
          <w:i/>
          <w:iCs/>
        </w:rPr>
        <w:t xml:space="preserve">Holland’s Duinen</w:t>
      </w:r>
      <w:r>
        <w:t xml:space="preserve"> </w:t>
      </w:r>
      <w:r>
        <w:t xml:space="preserve">55 beschrijft op pagina 5 de ingreep in en rond Pan 26.1; pagina 22 noemt de drie kavels en toont het bewerkte gebied met een zwarte begrenzing. Het totale werkgebied bedroeg circa 50 hectare. De bron verdeelt die oppervlakte niet over de kavels;</w:t>
      </w:r>
      <w:r>
        <w:t xml:space="preserve"> </w:t>
      </w:r>
      <w:r>
        <w:rPr>
          <w:rStyle w:val="VerbatimChar"/>
        </w:rPr>
        <w:t xml:space="preserve">doorsnijding_pct</w:t>
      </w:r>
      <w:r>
        <w:t xml:space="preserve"> </w:t>
      </w:r>
      <w:r>
        <w:t xml:space="preserve">blijft daarom leeg. Deze maatregel is een eenmalige herinrichting in 1997, anders dan de daarna doorlopende begrazing.</w:t>
      </w:r>
    </w:p>
    <w:p>
      <w:pPr>
        <w:pStyle w:val="BodyText"/>
      </w:pPr>
      <w:r>
        <w:t xml:space="preserve">De bestrijding van Watercrassula in de Kikkervallei is gekoppeld aan M13, M13s en M14. De Natura 2000-evaluatie van 25 april 2025 vermeldt op pagina 13 dat Watercrassula in 2015 en 2017 is aangetroffen, met zeil is afgedekt en sindsdien wordt bestreden. Daarmee zijn 2015 en 2017–2025 als</w:t>
      </w:r>
      <w:r>
        <w:t xml:space="preserve"> </w:t>
      </w:r>
      <w:r>
        <w:rPr>
          <w:rStyle w:val="VerbatimChar"/>
        </w:rPr>
        <w:t xml:space="preserve">uitgevoerd</w:t>
      </w:r>
      <w:r>
        <w:t xml:space="preserve"> </w:t>
      </w:r>
      <w:r>
        <w:t xml:space="preserve">vastgelegd; 2016 en 2026 zijn niet toegevoegd.</w:t>
      </w:r>
      <w:r>
        <w:t xml:space="preserve"> </w:t>
      </w:r>
      <w:r>
        <w:rPr>
          <w:i/>
          <w:iCs/>
        </w:rPr>
        <w:t xml:space="preserve">Holland’s Duinen</w:t>
      </w:r>
      <w:r>
        <w:t xml:space="preserve"> </w:t>
      </w:r>
      <w:r>
        <w:t xml:space="preserve">55 plaatst het Kikkervalleiengebied op pagina 22 praktisch geheel binnen de drie kavels. Ton bevestigde deze koppeling op 14 oktober 2026. De exacte besmettings- en behandelingsvoetafdruk per kavel is niet bekend;</w:t>
      </w:r>
      <w:r>
        <w:t xml:space="preserve"> </w:t>
      </w:r>
      <w:r>
        <w:rPr>
          <w:rStyle w:val="VerbatimChar"/>
        </w:rPr>
        <w:t xml:space="preserve">doorsnijding_pct</w:t>
      </w:r>
      <w:r>
        <w:t xml:space="preserve"> </w:t>
      </w:r>
      <w:r>
        <w:t xml:space="preserve">blijft daarom leeg.</w:t>
      </w:r>
    </w:p>
    <w:p>
      <w:pPr>
        <w:pStyle w:val="BodyText"/>
      </w:pPr>
      <w:r>
        <w:t xml:space="preserve">Ook het nabeheer tegen Duindoorn in de Kikkervalleien is gekoppeld aan M13, M13s en M14.</w:t>
      </w:r>
      <w:r>
        <w:t xml:space="preserve"> </w:t>
      </w:r>
      <w:r>
        <w:rPr>
          <w:i/>
          <w:iCs/>
        </w:rPr>
        <w:t xml:space="preserve">Holland’s Duinen</w:t>
      </w:r>
      <w:r>
        <w:t xml:space="preserve"> </w:t>
      </w:r>
      <w:r>
        <w:t xml:space="preserve">55 vermeldt op pagina 5 dat na de herinrichting van 1997 eerst handmatig en later vooral machinaal Duindoorn is bestreden; de samenvatting op pagina 36 noemt jaarlijks maaien van de valleien om Duindoorn tegen te gaan. Pagina 22 benoemt M13, M13s en M14 als de kavels waarin de Kikkervalleien praktisch geheel liggen. Ton bevestigde de koppeling op 15 oktober 2026. De publicatie beschrijft ontwikkelingen tot en met 2009, maar geeft geen sluitende uitvoeringsreeks of behandelingsoppervlakte per kavel. Daarom blijven</w:t>
      </w:r>
      <w:r>
        <w:t xml:space="preserve"> </w:t>
      </w:r>
      <w:r>
        <w:rPr>
          <w:rStyle w:val="VerbatimChar"/>
        </w:rPr>
        <w:t xml:space="preserve">doorsnijding_pct</w:t>
      </w:r>
      <w:r>
        <w:t xml:space="preserve"> </w:t>
      </w:r>
      <w:r>
        <w:t xml:space="preserve">en de jaarlaag leeg; de drie relaties voegen geen regel toe aan de bronvaste plot-jaarlaag.</w:t>
      </w:r>
    </w:p>
    <w:p>
      <w:pPr>
        <w:pStyle w:val="BodyText"/>
      </w:pPr>
      <w:r>
        <w:t xml:space="preserve">Ook het verwijderen van de omgevende leidingen en putten van Sprang PI en I in 1997 is gekoppeld aan M13, M13s en M14.</w:t>
      </w:r>
      <w:r>
        <w:t xml:space="preserve"> </w:t>
      </w:r>
      <w:r>
        <w:rPr>
          <w:i/>
          <w:iCs/>
        </w:rPr>
        <w:t xml:space="preserve">Meijendel Mededelingen</w:t>
      </w:r>
      <w:r>
        <w:t xml:space="preserve"> </w:t>
      </w:r>
      <w:r>
        <w:t xml:space="preserve">30 van november 1996 koppelt Sprang PI op pagina 99 letterlijk aan M13s en plaatst het betrokken rietgebied in M13s en M14; deze twee relaties zijn daarom</w:t>
      </w:r>
      <w:r>
        <w:t xml:space="preserve"> </w:t>
      </w:r>
      <w:r>
        <w:rPr>
          <w:rStyle w:val="VerbatimChar"/>
        </w:rPr>
        <w:t xml:space="preserve">expliciet_in_bron</w:t>
      </w:r>
      <w:r>
        <w:t xml:space="preserve">. De bronkaarten plaatsen Sprang I aan de oostzijde van het werkgebied en</w:t>
      </w:r>
      <w:r>
        <w:t xml:space="preserve"> </w:t>
      </w:r>
      <w:r>
        <w:rPr>
          <w:i/>
          <w:iCs/>
        </w:rPr>
        <w:t xml:space="preserve">Holland’s Duinen</w:t>
      </w:r>
      <w:r>
        <w:t xml:space="preserve"> </w:t>
      </w:r>
      <w:r>
        <w:t xml:space="preserve">55 plaatst het geschoonde gebied praktisch geheel binnen de drie kavels. Ton bevestigde M13 op 14 oktober 2026; die relatie is daarom</w:t>
      </w:r>
      <w:r>
        <w:t xml:space="preserve"> </w:t>
      </w:r>
      <w:r>
        <w:rPr>
          <w:rStyle w:val="VerbatimChar"/>
        </w:rPr>
        <w:t xml:space="preserve">benoemd_gebied_gevalideerd</w:t>
      </w:r>
      <w:r>
        <w:t xml:space="preserve">. Een exacte geometrie van leidingen en putten ontbreekt voor alle drie kavels, zodat</w:t>
      </w:r>
      <w:r>
        <w:t xml:space="preserve"> </w:t>
      </w:r>
      <w:r>
        <w:rPr>
          <w:rStyle w:val="VerbatimChar"/>
        </w:rPr>
        <w:t xml:space="preserve">doorsnijding_pct</w:t>
      </w:r>
      <w:r>
        <w:t xml:space="preserve"> </w:t>
      </w:r>
      <w:r>
        <w:t xml:space="preserve">leeg blijft. Dit was een eenmalige ingreep in 1997.</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w:t>
      </w:r>
      <w:r>
        <w:t xml:space="preserve"> </w:t>
      </w:r>
      <w:r>
        <w:rPr>
          <w:i/>
          <w:iCs/>
        </w:rPr>
        <w:t xml:space="preserve">Holland’s Duinen</w:t>
      </w:r>
      <w:r>
        <w:t xml:space="preserve"> </w:t>
      </w:r>
      <w:r>
        <w:t xml:space="preserve">86 van mei 2025 toont op pagina 49, figuur 1, de route Parnassiapad aan de noordzijde van de Helmduinen en is als aanvullende ruimtelijke context geregistreerd. De precieze plaggrens binnen M15 is niet bekend;</w:t>
      </w:r>
      <w:r>
        <w:t xml:space="preserve"> </w:t>
      </w:r>
      <w:r>
        <w:rPr>
          <w:rStyle w:val="VerbatimChar"/>
        </w:rPr>
        <w:t xml:space="preserve">doorsnijding_pct</w:t>
      </w:r>
      <w:r>
        <w:t xml:space="preserve"> </w:t>
      </w:r>
      <w:r>
        <w:t xml:space="preserve">blijft leeg.</w:t>
      </w:r>
    </w:p>
    <w:p>
      <w:pPr>
        <w:pStyle w:val="BodyText"/>
      </w:pPr>
      <w:r>
        <w:t xml:space="preserve">Ton heeft op 14 oktober 2026 ook Parnassiapad 1 gekoppeld aan M15. De primaire publicatie</w:t>
      </w:r>
      <w:r>
        <w:t xml:space="preserve"> </w:t>
      </w:r>
      <w:r>
        <w:rPr>
          <w:i/>
          <w:iCs/>
        </w:rPr>
        <w:t xml:space="preserve">Vegetatieontwikkeling in duinvalleien van Meijendel na opheffen van infiltratieplassen</w:t>
      </w:r>
      <w:r>
        <w:t xml:space="preserve"> </w:t>
      </w:r>
      <w:r>
        <w:t xml:space="preserve">uit 2003 onderscheidt Parnassiapad 1 in tabel 1 als de circa vier jaar eerder geplagde blokken E en F; het uitvoeringsjaar is daarom als circa 1997 vastgelegd. Bijlage A toont de opbouw en oriëntatie van het transect, maar geen kavelgrens of exacte plaggeometrie. De precieze plaggrens binnen M15 is daarom niet bekend en</w:t>
      </w:r>
      <w:r>
        <w:t xml:space="preserve"> </w:t>
      </w:r>
      <w:r>
        <w:rPr>
          <w:rStyle w:val="VerbatimChar"/>
        </w:rPr>
        <w:t xml:space="preserve">doorsnijding_pct</w:t>
      </w:r>
      <w:r>
        <w:t xml:space="preserve"> </w:t>
      </w:r>
      <w:r>
        <w:t xml:space="preserve">blijft leeg.</w:t>
      </w:r>
    </w:p>
    <w:p>
      <w:pPr>
        <w:pStyle w:val="BodyText"/>
      </w:pPr>
      <w:r>
        <w:t xml:space="preserve">Ton heeft op 15 oktober 2026 Plas 8.4.2 gekoppeld aan M32.</w:t>
      </w:r>
      <w:r>
        <w:t xml:space="preserve"> </w:t>
      </w:r>
      <w:r>
        <w:rPr>
          <w:i/>
          <w:iCs/>
        </w:rPr>
        <w:t xml:space="preserve">Slibverwijdering infiltratieplassen Meijendel</w:t>
      </w:r>
      <w:r>
        <w:t xml:space="preserve"> </w:t>
      </w:r>
      <w:r>
        <w:t xml:space="preserve">uit</w:t>
      </w:r>
      <w:r>
        <w:t xml:space="preserve"> </w:t>
      </w:r>
      <w:r>
        <w:rPr>
          <w:i/>
          <w:iCs/>
        </w:rPr>
        <w:t xml:space="preserve">Holland’s Duinen</w:t>
      </w:r>
      <w:r>
        <w:t xml:space="preserve"> </w:t>
      </w:r>
      <w:r>
        <w:t xml:space="preserve">46 van april 2005 vermeldt dat deze regelmatig verstopte plas in 2002 opnieuw is uitgebaggerd en toont haar als zuidwestelijke plas van Complex 8. Vergelijking van deze overzichtskaart met de actuele TOP10NL-watergeometrie en SOVON-kavelgeometrie plaatst de volledige plas in M32. De precieze werkvoetafdruk van de slibverwijdering binnen de plas is niet begrensd;</w:t>
      </w:r>
      <w:r>
        <w:t xml:space="preserve"> </w:t>
      </w:r>
      <w:r>
        <w:rPr>
          <w:rStyle w:val="VerbatimChar"/>
        </w:rPr>
        <w:t xml:space="preserve">doorsnijding_pct</w:t>
      </w:r>
      <w:r>
        <w:t xml:space="preserve"> </w:t>
      </w:r>
      <w:r>
        <w:t xml:space="preserve">blijft daarom leeg.</w:t>
      </w:r>
    </w:p>
    <w:p>
      <w:pPr>
        <w:pStyle w:val="BodyText"/>
      </w:pPr>
      <w:r>
        <w:t xml:space="preserve">Ton heeft op 15 oktober 2026 maatregel 22d voor Waalsdorp gekoppeld aan M84 en M43 en M84s uitgesloten. De Natura 2000-evaluatie van 25 april 2025 beschrijft voor 2016–2019 maaien en schapenbegrazing en voor 2018–2019 tevens struweelverwijdering. Voor 2020 is uitvoering onbekend; in 2021 zijn geen werkzaamheden uitgevoerd. De actuele TOP10NL-geometrie van de Vlakte van Waalsdorp raakt beide gekozen kavels, maar begrenst de werkelijk behandelde hectare niet.</w:t>
      </w:r>
      <w:r>
        <w:t xml:space="preserve"> </w:t>
      </w:r>
      <w:r>
        <w:rPr>
          <w:rStyle w:val="VerbatimChar"/>
        </w:rPr>
        <w:t xml:space="preserve">doorsnijding_pct</w:t>
      </w:r>
      <w:r>
        <w:t xml:space="preserve"> </w:t>
      </w:r>
      <w:r>
        <w:t xml:space="preserve">blijft daarom voor M84 en M43 leeg.</w:t>
      </w:r>
    </w:p>
    <w:p>
      <w:pPr>
        <w:pStyle w:val="BodyText"/>
      </w:pPr>
      <w:r>
        <w:t xml:space="preserve">Ton heeft op 15 oktober 2026 Meeuwenduin voor deze maatregel gelijkgesteld aan Meeuwenhoek en voorlopig de topografie van Prinsenberg voor Prinsenduin aangewezen. De uitvoering is naar bronjaar gesplitst. Het in november 2023 gestarte werk in Meeuwenduin en Prinsenduin is gekoppeld aan M10-12-76, M12a, M73, M74 en M75 voor Meeuwenduin en aan M2, M3, M35 en M36 voor Prinsenduin. Het Dunea-jaarverslag bevestigt in 2024 alleen voortzetting bij Prinsenduin; daarom is 2024 uitsluitend gekoppeld aan M2, M3, M35 en M36. De gelijkstelling Prinsenduin–Prinsenberg is voorlopig en de exacte werkvoetafdruk binnen de dertien uitvoering-kavelrelaties is onbekend;</w:t>
      </w:r>
      <w:r>
        <w:t xml:space="preserve"> </w:t>
      </w:r>
      <w:r>
        <w:rPr>
          <w:rStyle w:val="VerbatimChar"/>
        </w:rPr>
        <w:t xml:space="preserve">doorsnijding_pct</w:t>
      </w:r>
      <w:r>
        <w:t xml:space="preserve"> </w:t>
      </w:r>
      <w:r>
        <w:t xml:space="preserve">blijft leeg.</w:t>
      </w:r>
    </w:p>
    <w:p>
      <w:pPr>
        <w:pStyle w:val="BodyText"/>
      </w:pPr>
      <w:r>
        <w:t xml:space="preserve">De konijnenbijplaatsingsproef is voor 2024 gekoppeld aan M8 en M41. De ODH-beschikking van 28 augustus 2023 en het daarin opgenomen activiteitenplan benoemen en begrenzen de uitzetlocaties Kleine Pan en Waterschapsvallei. De nameninventaris koppelt Kleine Pan aan M8; vergelijking met de actuele SOVON-kavelgeometrie plaatst Waterschapsvallei in M41. Ton bevestigde beide koppelingen op 14 oktober 2026. Het Dunea-jaarverslag bevestigt dat de proef in 2024 is begonnen en dat rond de uitzetlocaties is gemonitord. De beschikking gold tot en met 31 maart 2026, maar dat vergunningsbereik bewijst geen uitvoering in 2025 of 2026. Daarom bevat de jaarlaag alleen 2024. De precieze uitzet- en monitoringsvoetafdruk binnen beide kavels is niet vastgesteld;</w:t>
      </w:r>
      <w:r>
        <w:t xml:space="preserve"> </w:t>
      </w:r>
      <w:r>
        <w:rPr>
          <w:rStyle w:val="VerbatimChar"/>
        </w:rPr>
        <w:t xml:space="preserve">doorsnijding_pct</w:t>
      </w:r>
      <w:r>
        <w:t xml:space="preserve"> </w:t>
      </w:r>
      <w:r>
        <w:t xml:space="preserve">blijft leeg.</w:t>
      </w:r>
    </w:p>
    <w:p>
      <w:pPr>
        <w:pStyle w:val="BodyText"/>
      </w:pPr>
      <w:r>
        <w:t xml:space="preserve">Het elektriciteitswerk in Vallei Meijendel is op 15 oktober 2026 door Ton gekoppeld aan M51. Dunea lokaliseert de aangekondigde kabels, elektriciteitskast en laadvoorbereiding op het parkeerterrein bij De Tapuit, het bezoekerscentrum en Boerderij Meyendel. De afzonderlijk gecontroleerde openbare locatiepunten van deze drie voorzieningen liggen volgens de actuele kavelgeometrie alle in M51. Het precieze kabeltracé en de werkvoetafdruk zijn niet gepubliceerd;</w:t>
      </w:r>
      <w:r>
        <w:t xml:space="preserve"> </w:t>
      </w:r>
      <w:r>
        <w:rPr>
          <w:rStyle w:val="VerbatimChar"/>
        </w:rPr>
        <w:t xml:space="preserve">doorsnijding_pct</w:t>
      </w:r>
      <w:r>
        <w:t xml:space="preserve"> </w:t>
      </w:r>
      <w:r>
        <w:t xml:space="preserve">blijft daarom leeg. De bron bevestigt evenmin de voltooiing. De uitvoering houdt status</w:t>
      </w:r>
      <w:r>
        <w:t xml:space="preserve"> </w:t>
      </w:r>
      <w:r>
        <w:rPr>
          <w:rStyle w:val="VerbatimChar"/>
        </w:rPr>
        <w:t xml:space="preserve">onbekend</w:t>
      </w:r>
      <w:r>
        <w:t xml:space="preserve">, heeft nul jaarregels en voegt dus geen regel toe aan</w:t>
      </w:r>
      <w:r>
        <w:t xml:space="preserve"> </w:t>
      </w:r>
      <w:r>
        <w:rPr>
          <w:rStyle w:val="VerbatimChar"/>
        </w:rPr>
        <w:t xml:space="preserve">v_plot_jaar_maatregel_bronvast</w:t>
      </w:r>
      <w:r>
        <w:t xml:space="preserve">.</w:t>
      </w:r>
    </w:p>
    <w:p>
      <w:pPr>
        <w:pStyle w:val="BodyText"/>
      </w:pPr>
      <w:r>
        <w:t xml:space="preserve">De werkzaamheden aan de Paardenstal zijn op 15 oktober 2026 door Ton gekoppeld aan M51. De definitieve ODH-beschikking van 5 november 2025, zaak 01132870 en kenmerk ODH1498120, beschrijft vervanging van houten dakdelen, plaatsing van zonnecollectoren, aanpassing van gevels en kozijnen en aanleg van water- en elektriciteitsleidingen. Zij legt tevens mitigerende maatregelen vast voor vier zomerverblijfplaatsen en één paarverblijfplaats van de Gewone dwergvleermuis. De kaartbijlagen op pagina 12–14 begrenzen de Paardenstal naast De Tapuit en Boerderij Meyendel. De exacte werkvoetafdruk binnen M51 is niet gepubliceerd;</w:t>
      </w:r>
      <w:r>
        <w:t xml:space="preserve"> </w:t>
      </w:r>
      <w:r>
        <w:rPr>
          <w:rStyle w:val="VerbatimChar"/>
        </w:rPr>
        <w:t xml:space="preserve">doorsnijding_pct</w:t>
      </w:r>
      <w:r>
        <w:t xml:space="preserve"> </w:t>
      </w:r>
      <w:r>
        <w:t xml:space="preserve">blijft leeg. Dunea noemt 1 november 2026 tot en met 31 maart 2027 als werkperiode. Omdat noch Dunea noch de beschikking op 15 oktober 2026 uitvoering bevestigt, blijft de status</w:t>
      </w:r>
      <w:r>
        <w:t xml:space="preserve"> </w:t>
      </w:r>
      <w:r>
        <w:rPr>
          <w:rStyle w:val="VerbatimChar"/>
        </w:rPr>
        <w:t xml:space="preserve">gepland</w:t>
      </w:r>
      <w:r>
        <w:t xml:space="preserve">; de uitvoering heeft nul jaarregels en voegt geen regel toe aan</w:t>
      </w:r>
      <w:r>
        <w:t xml:space="preserve"> </w:t>
      </w:r>
      <w:r>
        <w:rPr>
          <w:rStyle w:val="VerbatimChar"/>
        </w:rPr>
        <w:t xml:space="preserve">v_plot_jaar_maatregel_bronvast</w:t>
      </w:r>
      <w:r>
        <w:t xml:space="preserve">.</w:t>
      </w:r>
    </w:p>
    <w:p>
      <w:pPr>
        <w:pStyle w:val="BodyText"/>
      </w:pPr>
      <w:r>
        <w:t xml:space="preserve">Bendel is op 15 oktober 2026 als buiten het Meijendel-plotgebied beoordeeld. De nameninventaris bevat 182 objecten maar geen object met de naam Bendel. Staatsbosbeheer lokaliseert het gebied expliciet in Berkheide-Noord.</w:t>
      </w:r>
      <w:r>
        <w:t xml:space="preserve"> </w:t>
      </w:r>
      <w:r>
        <w:rPr>
          <w:i/>
          <w:iCs/>
        </w:rPr>
        <w:t xml:space="preserve">Holland’s Duinen</w:t>
      </w:r>
      <w:r>
        <w:t xml:space="preserve"> </w:t>
      </w:r>
      <w:r>
        <w:t xml:space="preserve">88 beschrijft daarnaast een afzonderlijke, afgeronde herinrichting van oktober 2025 tot maart 2026: herstel van historische duinakkers, dynamisch grijs duin en vochtige duinvalleien, plus aanleg van twee duinpoelen. Deze uitvoering heeft twee uitgevoerde jaarregels, voor 2025 en 2026. Het provinciale openstellingsbesluit van 22 april 2026 betreft aansluitend nabeheer voor H2130 en H2190, maar bewijst geen opdracht of uitvoering van dat nabeheer. Beide uitvoeringen zijn in</w:t>
      </w:r>
      <w:r>
        <w:t xml:space="preserve"> </w:t>
      </w:r>
      <w:r>
        <w:rPr>
          <w:rStyle w:val="VerbatimChar"/>
        </w:rPr>
        <w:t xml:space="preserve">maatregel_uitvoering_plotscope</w:t>
      </w:r>
      <w:r>
        <w:t xml:space="preserve"> </w:t>
      </w:r>
      <w:r>
        <w:t xml:space="preserve">gemarkeerd als</w:t>
      </w:r>
      <w:r>
        <w:t xml:space="preserve"> </w:t>
      </w:r>
      <w:r>
        <w:rPr>
          <w:rStyle w:val="VerbatimChar"/>
        </w:rPr>
        <w:t xml:space="preserve">buiten_meijendel_plotgebied</w:t>
      </w:r>
      <w:r>
        <w:t xml:space="preserve"> </w:t>
      </w:r>
      <w:r>
        <w:t xml:space="preserve">en krijgen geen Meijendel-kavelrelatie of plot-jaarrij.</w:t>
      </w:r>
    </w:p>
    <w:p>
      <w:pPr>
        <w:pStyle w:val="BodyText"/>
      </w:pPr>
      <w:r>
        <w:t xml:space="preserve">De 124 plotkoppelingen en 86 uitgevoerde jaarregels leveren samen 172 regels in</w:t>
      </w:r>
      <w:r>
        <w:t xml:space="preserve"> </w:t>
      </w:r>
      <w:r>
        <w:rPr>
          <w:rStyle w:val="VerbatimChar"/>
        </w:rPr>
        <w:t xml:space="preserve">v_plot_jaar_maatregel_bronvast</w:t>
      </w:r>
      <w:r>
        <w:t xml:space="preserve">. De koppeling van het maaibeheer in Ruygenhoek en De Loopert voegt drie plotrelaties maar geen plot-jaarrijen toe, omdat vaststelbare uitvoeringsjaren ontbreken; Langestrook blijft niet gelokaliseerd. De Ganzenhoekbosdunning voegt twee plot-jaarrijen voor M77 en M78/79 in 2017 toe. De nameninventaris voegt 36 plot-jaarrijen toe: begrazing in Kijfhoek en Bierlap in 1990, hervat maaibeheer bij Tafelberg en ’t Scheepje in 2025, uitgevoerd maaibeheer in Uilenbosch in 2017–2021 en vogelkersbestrijding in Kijfhoek, Bierlap en Meeuwenhoek in 2020. De aanvullende systeemkoppelingen voegen 22 plot-jaarrijen toe: vier voor de oeveraanpassing van Pan 13 in 1988–1989 en achttien voor drie uitvoeringen in Plas 20 in 2005–2006. De Helmduinen-koppeling voegt drie plot-jaarrijen voor 1991 toe. De uitbreiding van de begrazing met de Kikkervalleien, de eenmalige verwijdering van vegetatie en voedselrijke bovengrond en het verwijderen van leidingen en putten voegen ieder drie plot-jaarrijen voor 1997 toe; Parnassiapad 2 voegt één plot-jaarrij voor M15 in 1993 toe en Parnassiapad 1 één voor M15 in 1997. De Watercrassulabestrijding voegt dertig plot-jaarrijen toe voor M13, M13s en M14 in 2015 en 2017–2025. Het opslagbeheer in Meeuwenduin en Prinsenduin voegt negen plot-jaarrijen voor 2023 toe; de afzonderlijke voortzetting in Prinsenduin voegt vier plot-jaarrijen voor 2024 toe. De konijnenbijplaatsingsproef voegt twee plot-jaarrijen toe voor M8 en M41 in 2024. De koppeling van Plas 8.4.2 aan M32 voegt één plot-jaarrij voor 2002 toe. Waalsdorp voegt acht plot-jaarrijen toe voor M84 en M43 in 2016–2019. De statussen</w:t>
      </w:r>
      <w:r>
        <w:t xml:space="preserve"> </w:t>
      </w:r>
      <w:r>
        <w:rPr>
          <w:rStyle w:val="VerbatimChar"/>
        </w:rPr>
        <w:t xml:space="preserve">onbekend</w:t>
      </w:r>
      <w:r>
        <w:t xml:space="preserve"> </w:t>
      </w:r>
      <w:r>
        <w:t xml:space="preserve">voor 2020 en</w:t>
      </w:r>
      <w:r>
        <w:t xml:space="preserve"> </w:t>
      </w:r>
      <w:r>
        <w:rPr>
          <w:rStyle w:val="VerbatimChar"/>
        </w:rPr>
        <w:t xml:space="preserve">niet_uitgevoerd</w:t>
      </w:r>
      <w:r>
        <w:t xml:space="preserve"> </w:t>
      </w:r>
      <w:r>
        <w:t xml:space="preserve">voor 2021 blijven in de jaarbeoordeling staan en leveren geen rij in deze uitgevoerde view. Voor beide doorlopende begrazingsmaatregelen bewaart deze view alleen het expliciet onderbouwde startjaar; de open einddatum en</w:t>
      </w:r>
      <w:r>
        <w:t xml:space="preserve"> </w:t>
      </w:r>
      <w:r>
        <w:rPr>
          <w:rStyle w:val="VerbatimChar"/>
        </w:rPr>
        <w:t xml:space="preserve">cycliciteit='doorlopend tot heden'</w:t>
      </w:r>
      <w:r>
        <w:t xml:space="preserve"> </w:t>
      </w:r>
      <w:r>
        <w:t xml:space="preserve">leggen de voortzetting tot en met 2026 vast zonder tussenliggende jaren als afzonderlijke bronbeweringen te construeren. De koppelingen voor de uitbreiding van het begrazingsgebied met Meeuwenhoek en het maaibeheer in Oude Rijs leveren geen uitgevoerde plot-jaarrij, omdat respectievelijk een uitvoeringsjaar ontbreekt en 2025 als</w:t>
      </w:r>
      <w:r>
        <w:t xml:space="preserve"> </w:t>
      </w:r>
      <w:r>
        <w:rPr>
          <w:rStyle w:val="VerbatimChar"/>
        </w:rPr>
        <w:t xml:space="preserve">niet_uitgevoerd</w:t>
      </w:r>
      <w:r>
        <w:t xml:space="preserve"> </w:t>
      </w:r>
      <w:r>
        <w:t xml:space="preserve">is vastgelegd. Voorlinden, het elektriciteitswerk in M51 en de Paardenstal in M51 leveren evenmin een plot-jaarrij, omdat zij geen uitgevoerde jaarstatus hebben. De twee Bendel-jaarregels blijven buiten deze view omdat beide Bendel-uitvoeringen expliciet buiten het Meijendel-plotgebied vallen.</w:t>
      </w:r>
    </w:p>
    <w:p>
      <w:pPr>
        <w:pStyle w:val="BodyText"/>
      </w:pPr>
      <w:r>
        <w:rPr>
          <w:b/>
          <w:bCs/>
        </w:rPr>
        <w:t xml:space="preserve">Gebruik en grens.</w:t>
      </w:r>
      <w:r>
        <w:t xml:space="preserve"> </w:t>
      </w:r>
      <w:r>
        <w:t xml:space="preserve">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bestaande regels in</w:t>
      </w:r>
      <w:r>
        <w:t xml:space="preserve"> </w:t>
      </w:r>
      <w:r>
        <w:rPr>
          <w:rStyle w:val="VerbatimChar"/>
        </w:rPr>
        <w:t xml:space="preserve">plot_jaar_maatregel</w:t>
      </w:r>
      <w:r>
        <w:t xml:space="preserve"> </w:t>
      </w:r>
      <w:r>
        <w:t xml:space="preserve">betreffen begrazing in 16 plots uit 1991–1999. Hun aantal en checksum</w:t>
      </w:r>
      <w:r>
        <w:t xml:space="preserve"> </w:t>
      </w:r>
      <w:r>
        <w:rPr>
          <w:rStyle w:val="VerbatimChar"/>
        </w:rPr>
        <w:t xml:space="preserve">306480715648</w:t>
      </w:r>
      <w:r>
        <w:t xml:space="preserve"> </w:t>
      </w:r>
      <w:r>
        <w:t xml:space="preserve">zijn vóór en na deze invoer gelijk gebleven; zij worden niet als onderdeel van de nieuwe bronvaste laag geteld.</w:t>
      </w:r>
    </w:p>
    <w:p>
      <w:pPr>
        <w:pStyle w:val="BodyText"/>
      </w:pPr>
      <w:r>
        <w:rPr>
          <w:b/>
          <w:bCs/>
        </w:rPr>
        <w:t xml:space="preserve">Status.</w:t>
      </w:r>
      <w:r>
        <w:t xml:space="preserve"> </w:t>
      </w:r>
      <w:r>
        <w:t xml:space="preserve">Bronvast op project-, uitvoering- en jaarniveau voor de 33 ingevoerde bronnen en 63 uitvoeringen. De algemene kavel- en gebiedsindeling is geometrisch beschikbaar voor de 55 actuele plots uit 2025; vijf expliciet gekoppelde historische kavels hebben geen afzonderlijke geometrie. De bronvaste plot-jaarlaag bevat 172 regels voor 1967–1969, 1972–1975, 1988–1991, 1993, 1997, 2002, 2005–2006 en 2017–2025. Zes uitvoeringen zijn via de nameninventaris aan 32 kavelsituaties gekoppeld; Pan 13 en Plas 20 voegen elf aanvullende relaties toe, Helmduinen drie, de Kikkervalleienbegrazing drie, het Kikkervalleien-bodemherstel drie, de Kikkervalleien-infrastructuuringreep drie, de Watercrassulabestrijding drie, het Kikkervalleien-Duindoornbeheer drie, Parnassiapad 2 één, Parnassiapad 1 één, Plas 8.4.2 één, Waalsdorp twee, Meeuwenduin en Prinsenduin samen dertien, de konijnenbijplaatsingsproef twee, het elektriciteitswerk in Vallei Meijendel één, de Paardenstal één en de Ganzenhoekbosdunning twee en het maaibeheer in Ruygenhoek en De Loopert drie. Zestien uitvoeringen hebben geen directe plotkoppeling; de twee Bendel-uitvoeringen zijn daarvan aantoonbaar buiten het Meijendel-plotgebied geplaatst, zodat nog 14 geheel ongekoppelde uitvoeringen ruimtelijk moeten worden beoordeeld. Daarnaast blijft Langestrook binnen de al gedeeltelijk gekoppelde uitvoering</w:t>
      </w:r>
      <w:r>
        <w:t xml:space="preserve"> </w:t>
      </w:r>
      <w:r>
        <w:rPr>
          <w:rStyle w:val="VerbatimChar"/>
        </w:rPr>
        <w:t xml:space="preserve">pas_22b_maaibeheer</w:t>
      </w:r>
      <w:r>
        <w:t xml:space="preserve"> </w:t>
      </w:r>
      <w:r>
        <w:t xml:space="preserve">zonder kavel.</w:t>
      </w:r>
    </w:p>
    <w:p>
      <w:pPr>
        <w:pStyle w:val="Heading2"/>
      </w:pPr>
      <w:bookmarkStart w:id="55" w:name="_3b532014da7425692b0b753bfd67f02e729afe2"/>
      <w:r>
        <w:t xml:space="preserve">2. Bronnen in MySQL-database</w:t>
      </w:r>
      <w:r>
        <w:t xml:space="preserve"> </w:t>
      </w:r>
      <w:r>
        <w:rPr>
          <w:rStyle w:val="VerbatimChar"/>
        </w:rPr>
        <w:t xml:space="preserve">Meijendel_bronnen</w:t>
      </w:r>
      <w:bookmarkEnd w:id="55"/>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6" w:name="_duinvalleivegetatie"/>
      <w:r>
        <w:t xml:space="preserve">2.1. Duinvalleivegetatie</w:t>
      </w:r>
      <w:bookmarkEnd w:id="56"/>
    </w:p>
    <w:p>
      <w:pPr>
        <w:pStyle w:val="FirstParagraph"/>
      </w:pPr>
      <w:r>
        <w:rPr>
          <w:b/>
          <w:bCs/>
        </w:rPr>
        <w:t xml:space="preserve">Beheerder.</w:t>
      </w:r>
      <w:r>
        <w:t xml:space="preserve"> </w:t>
      </w:r>
      <w:r>
        <w:t xml:space="preserve">Openbare onderzoeksdataset,</w:t>
      </w:r>
      <w:r>
        <w:t xml:space="preserve"> </w:t>
      </w:r>
      <w:hyperlink r:id="rId57">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58" w:name="_b3fe4556564befcfb8496c13829480f8568428d"/>
      <w:r>
        <w:t xml:space="preserve">2.2. Vogelstand 1924</w:t>
      </w:r>
      <w:bookmarkEnd w:id="58"/>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59" w:name="_jachtspinnen"/>
      <w:r>
        <w:t xml:space="preserve">2.3. Jachtspinnen</w:t>
      </w:r>
      <w:bookmarkEnd w:id="59"/>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0" w:name="_literatuuroverzicht"/>
      <w:r>
        <w:t xml:space="preserve">2.4. Literatuuroverzicht</w:t>
      </w:r>
      <w:bookmarkEnd w:id="60"/>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1" w:name="_c459e94267866b3631cced111f8a87d0309b41a"/>
      <w:r>
        <w:t xml:space="preserve">2.5. Bijenmonitoring in vier beheergebieden</w:t>
      </w:r>
      <w:bookmarkEnd w:id="61"/>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2" w:name="_3de3a6968c8894ad5b666eb1a40d580f2cd5807"/>
      <w:r>
        <w:t xml:space="preserve">2.6. Aquatische macrofauna 1974–1975</w:t>
      </w:r>
      <w:bookmarkEnd w:id="62"/>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3" w:name="_ae67a70ad36e2d1d11a7d910c2e5a6d669a3a5f"/>
      <w:r>
        <w:t xml:space="preserve">3. Geïdentificeerde externe kandidaatbronnen</w:t>
      </w:r>
      <w:bookmarkEnd w:id="63"/>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4" w:name="_d53aceb4d9e4863cdbb6367737be5e291cdac65"/>
      <w:r>
        <w:t xml:space="preserve">Kandidaten met de grootste verwachte aanvulling</w:t>
      </w:r>
      <w:bookmarkEnd w:id="64"/>
    </w:p>
    <w:p>
      <w:pPr>
        <w:pStyle w:val="Heading4"/>
      </w:pPr>
      <w:bookmarkStart w:id="65" w:name="_74b9659b0fdf809bf79d99a5b829eae72be789d"/>
      <w:r>
        <w:t xml:space="preserve">3.1. Historische en actuele ringgegevens</w:t>
      </w:r>
      <w:bookmarkEnd w:id="65"/>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6" w:name="_78976b2620bc79a80ca8146881cbd2c6e6ff990"/>
      <w:r>
        <w:t xml:space="preserve">3.2. Erosiepinnen in een stuifkuilcomplex</w:t>
      </w:r>
      <w:bookmarkEnd w:id="66"/>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7" w:name="_0e60eab001b7dad7f07f0f30fba1e4c43b4fb6d"/>
      <w:r>
        <w:t xml:space="preserve">3.3. Langjarige droge-duinvegetatieplots</w:t>
      </w:r>
      <w:bookmarkEnd w:id="67"/>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69" w:name="_f31d7749b8f822cf46569bbbcf696a184226376"/>
      <w:r>
        <w:t xml:space="preserve">3.4.</w:t>
      </w:r>
      <w:r>
        <w:t xml:space="preserve"> </w:t>
      </w:r>
      <w:hyperlink r:id="rId68">
        <w:r>
          <w:rPr>
            <w:rStyle w:val="Hyperlink"/>
          </w:rPr>
          <w:t xml:space="preserve">Neuropteren van Meijendel</w:t>
        </w:r>
      </w:hyperlink>
      <w:bookmarkEnd w:id="69"/>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1" w:name="_2470413ff36fadda6aaee753e44801bf1df918f"/>
      <w:r>
        <w:t xml:space="preserve">3.5.</w:t>
      </w:r>
      <w:r>
        <w:t xml:space="preserve"> </w:t>
      </w:r>
      <w:hyperlink r:id="rId70">
        <w:r>
          <w:rPr>
            <w:rStyle w:val="Hyperlink"/>
          </w:rPr>
          <w:t xml:space="preserve">Zweefvliegen van Meijendel</w:t>
        </w:r>
      </w:hyperlink>
      <w:bookmarkEnd w:id="71"/>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2" w:name="_17333f70ef292f70875eaae009d7701e7337d63"/>
      <w:r>
        <w:t xml:space="preserve">3.6. TERRA-Dunes plant- en bodemmicrobiomen</w:t>
      </w:r>
      <w:bookmarkEnd w:id="72"/>
    </w:p>
    <w:p>
      <w:pPr>
        <w:pStyle w:val="FirstParagraph"/>
      </w:pPr>
      <w:r>
        <w:rPr>
          <w:b/>
          <w:bCs/>
        </w:rPr>
        <w:t xml:space="preserve">Eigenaar of uitgever.</w:t>
      </w:r>
      <w:r>
        <w:t xml:space="preserve"> </w:t>
      </w:r>
      <w:r>
        <w:t xml:space="preserve">Onderzoeksteam TERRA-Dunes,</w:t>
      </w:r>
      <w:r>
        <w:t xml:space="preserve"> </w:t>
      </w:r>
      <w:hyperlink r:id="rId73">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4" w:name="_40b4b5f78cd8ca95bb70f0f0c78c7e4fbf296ca"/>
      <w:r>
        <w:t xml:space="preserve">3.7. Rups- en bodemmicrobiomen</w:t>
      </w:r>
      <w:bookmarkEnd w:id="74"/>
    </w:p>
    <w:p>
      <w:pPr>
        <w:pStyle w:val="FirstParagraph"/>
      </w:pPr>
      <w:r>
        <w:rPr>
          <w:b/>
          <w:bCs/>
        </w:rPr>
        <w:t xml:space="preserve">Eigenaar of uitgever.</w:t>
      </w:r>
      <w:r>
        <w:t xml:space="preserve"> </w:t>
      </w:r>
      <w:r>
        <w:t xml:space="preserve">Onderzoeksteam,</w:t>
      </w:r>
      <w:r>
        <w:t xml:space="preserve"> </w:t>
      </w:r>
      <w:hyperlink r:id="rId75">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6" w:name="_1ba4dd18d3453a5dd5138bb384a5f14f39849e8"/>
      <w:r>
        <w:t xml:space="preserve">3.8. Schimmels bij kruipwilg</w:t>
      </w:r>
      <w:bookmarkEnd w:id="76"/>
    </w:p>
    <w:p>
      <w:pPr>
        <w:pStyle w:val="FirstParagraph"/>
      </w:pPr>
      <w:r>
        <w:rPr>
          <w:b/>
          <w:bCs/>
        </w:rPr>
        <w:t xml:space="preserve">Eigenaar of uitgever.</w:t>
      </w:r>
      <w:r>
        <w:t xml:space="preserve"> </w:t>
      </w:r>
      <w:r>
        <w:t xml:space="preserve">Onderzoeksteam,</w:t>
      </w:r>
      <w:r>
        <w:t xml:space="preserve"> </w:t>
      </w:r>
      <w:hyperlink r:id="rId77">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78" w:name="_374ab00ebf692a8e3319839c9c7bfae940c399a"/>
      <w:r>
        <w:t xml:space="preserve">3.9. Plantengroei, bodemvocht en weer</w:t>
      </w:r>
      <w:bookmarkEnd w:id="78"/>
    </w:p>
    <w:p>
      <w:pPr>
        <w:pStyle w:val="FirstParagraph"/>
      </w:pPr>
      <w:r>
        <w:rPr>
          <w:b/>
          <w:bCs/>
        </w:rPr>
        <w:t xml:space="preserve">Eigenaar of uitgever.</w:t>
      </w:r>
      <w:r>
        <w:t xml:space="preserve"> </w:t>
      </w:r>
      <w:r>
        <w:t xml:space="preserve">Wageningen University &amp; Research,</w:t>
      </w:r>
      <w:r>
        <w:t xml:space="preserve"> </w:t>
      </w:r>
      <w:hyperlink r:id="rId79">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0" w:name="_936150612b1bf240012fee005a20984db1c7c99"/>
      <w:r>
        <w:t xml:space="preserve">3.10. Genetische datasets amfibieën</w:t>
      </w:r>
      <w:bookmarkEnd w:id="80"/>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1" w:name="_8c2748f02893018608c8a38a1054acf3030739d"/>
      <w:r>
        <w:t xml:space="preserve">3.11. Alleen context of nog een onderzoeksaanwijzing</w:t>
      </w:r>
      <w:bookmarkEnd w:id="81"/>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82">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3" w:name="_41253e96e2b1ec8824f9b84bf0a06f4f5ff5fba"/>
      <w:r>
        <w:t xml:space="preserve">3.12. Geografische namen en historische paden</w:t>
      </w:r>
      <w:bookmarkEnd w:id="83"/>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Heading2"/>
      </w:pPr>
      <w:bookmarkStart w:id="84" w:name="_8e1aa2a9058c5df66a55f09f3195dc2392072ca"/>
      <w:r>
        <w:t xml:space="preserve">4. Verwachte aanvullingen</w:t>
      </w:r>
      <w:bookmarkEnd w:id="84"/>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p>
      <w:pPr>
        <w:pStyle w:val="Heading2"/>
      </w:pPr>
      <w:bookmarkStart w:id="85" w:name="_bd1d36805349ef5ec39b6efd044fd20b47e23f4"/>
      <w:r>
        <w:t xml:space="preserve">5. Bronnen die niet verder worden uitgewerkt</w:t>
      </w:r>
      <w:bookmarkEnd w:id="85"/>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86" w:name="_013584c0923eee2d005d13457186cf6f9764ca0"/>
      <w:r>
        <w:t xml:space="preserve">6. Gebruik van dit register</w:t>
      </w:r>
      <w:bookmarkEnd w:id="86"/>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87" w:name="_actieplan"/>
      <w:r>
        <w:t xml:space="preserve">7. Actieplan</w:t>
      </w:r>
      <w:bookmarkEnd w:id="87"/>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88" w:name="_94b069977659593a87344faec87dcce83750292"/>
      <w:r>
        <w:t xml:space="preserve">Fase 1 — openbare, direct toetsbare bronnen</w:t>
      </w:r>
      <w:bookmarkEnd w:id="88"/>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89" w:name="_1e65d730f223a62ff579853fd3c77c9308748df"/>
      <w:r>
        <w:t xml:space="preserve">Fase 2 — reeksen met grote historische of trendwaarde</w:t>
      </w:r>
      <w:bookmarkEnd w:id="89"/>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0" w:name="_6b9d0c88ffcb5584e67daa74c9524b522af67c0"/>
      <w:r>
        <w:t xml:space="preserve">Fase 3 — reeds bekende bronhouders en contextdatasets</w:t>
      </w:r>
      <w:bookmarkEnd w:id="90"/>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1" w:name="_d490f73b19661b8ff0d346b94e527be91e989c7"/>
      <w:r>
        <w:t xml:space="preserve">Vaste werkwijze per bron</w:t>
      </w:r>
      <w:bookmarkEnd w:id="91"/>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2" w:name="_1e50ec235a164d1e043cda4cec7be66fb154af3"/>
      <w:r>
        <w:t xml:space="preserve">Dekking van de internetcontrole</w:t>
      </w:r>
      <w:bookmarkEnd w:id="92"/>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3" w:name="_5001ec8ecf742000e2504f4f268bea177f3f158"/>
      <w:r>
        <w:t xml:space="preserve">Achterliggende verantwoording</w:t>
      </w:r>
      <w:bookmarkEnd w:id="93"/>
    </w:p>
    <w:p>
      <w:pPr>
        <w:pStyle w:val="Compact"/>
        <w:numPr>
          <w:ilvl w:val="0"/>
          <w:numId w:val="1005"/>
        </w:numPr>
      </w:pPr>
      <w:hyperlink r:id="rId94">
        <w:r>
          <w:rPr>
            <w:rStyle w:val="Hyperlink"/>
          </w:rPr>
          <w:t xml:space="preserve">NDFF-staging en bronvergelijking</w:t>
        </w:r>
      </w:hyperlink>
    </w:p>
    <w:p>
      <w:pPr>
        <w:pStyle w:val="Compact"/>
        <w:numPr>
          <w:ilvl w:val="0"/>
          <w:numId w:val="1005"/>
        </w:numPr>
      </w:pPr>
      <w:hyperlink r:id="rId95">
        <w:r>
          <w:rPr>
            <w:rStyle w:val="Hyperlink"/>
          </w:rPr>
          <w:t xml:space="preserve">NDFF-protocolaudit</w:t>
        </w:r>
      </w:hyperlink>
    </w:p>
    <w:p>
      <w:pPr>
        <w:pStyle w:val="Compact"/>
        <w:numPr>
          <w:ilvl w:val="0"/>
          <w:numId w:val="1005"/>
        </w:numPr>
      </w:pPr>
      <w:hyperlink r:id="rId96">
        <w:r>
          <w:rPr>
            <w:rStyle w:val="Hyperlink"/>
          </w:rPr>
          <w:t xml:space="preserve">Scheiding tussen Meijendel en Meijendel_bronnen</w:t>
        </w:r>
      </w:hyperlink>
    </w:p>
    <w:p>
      <w:pPr>
        <w:pStyle w:val="Compact"/>
        <w:numPr>
          <w:ilvl w:val="0"/>
          <w:numId w:val="1005"/>
        </w:numPr>
      </w:pPr>
      <w:hyperlink r:id="rId97">
        <w:r>
          <w:rPr>
            <w:rStyle w:val="Hyperlink"/>
          </w:rPr>
          <w:t xml:space="preserve">Ruimtelijke audit van contextbronnen</w:t>
        </w:r>
      </w:hyperlink>
    </w:p>
    <w:p>
      <w:pPr>
        <w:pStyle w:val="Compact"/>
        <w:numPr>
          <w:ilvl w:val="0"/>
          <w:numId w:val="1005"/>
        </w:numPr>
      </w:pPr>
      <w:hyperlink r:id="rId98">
        <w:r>
          <w:rPr>
            <w:rStyle w:val="Hyperlink"/>
          </w:rPr>
          <w:t xml:space="preserve">Importbesluit duinvalleivegetatie</w:t>
        </w:r>
      </w:hyperlink>
    </w:p>
    <w:p>
      <w:pPr>
        <w:pStyle w:val="Compact"/>
        <w:numPr>
          <w:ilvl w:val="0"/>
          <w:numId w:val="1005"/>
        </w:numPr>
      </w:pPr>
      <w:hyperlink r:id="rId99">
        <w:r>
          <w:rPr>
            <w:rStyle w:val="Hyperlink"/>
          </w:rPr>
          <w:t xml:space="preserve">Ruimtelijke bronlagen en toelatingsregels</w:t>
        </w:r>
      </w:hyperlink>
    </w:p>
    <w:p>
      <w:pPr>
        <w:pStyle w:val="Compact"/>
        <w:numPr>
          <w:ilvl w:val="0"/>
          <w:numId w:val="1005"/>
        </w:numPr>
      </w:pPr>
      <w:hyperlink r:id="rId100">
        <w:r>
          <w:rPr>
            <w:rStyle w:val="Hyperlink"/>
          </w:rPr>
          <w:t xml:space="preserve">Beveiligde NDFF-ontvangst</w:t>
        </w:r>
      </w:hyperlink>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8" Target="../gis/audit/externe_ecologie_fase1_2_manifest.json" TargetMode="External" /><Relationship Type="http://schemas.openxmlformats.org/officeDocument/2006/relationships/hyperlink" Id="rId96" Target="bronnen/MEIJENDEL_BRONNEN.md" TargetMode="External" /><Relationship Type="http://schemas.openxmlformats.org/officeDocument/2006/relationships/hyperlink" Id="rId97" Target="bronnen/audits/MEIJENDEL_BRONNEN_AUDIT.md" TargetMode="External" /><Relationship Type="http://schemas.openxmlformats.org/officeDocument/2006/relationships/hyperlink" Id="rId95" Target="bronnen/audits/NDFF_PROTOCOLAUDIT.md" TargetMode="External" /><Relationship Type="http://schemas.openxmlformats.org/officeDocument/2006/relationships/hyperlink" Id="rId94" Target="bronnen/bronvergelijkingen/NDFF_STAGINGDATASET.md" TargetMode="External" /><Relationship Type="http://schemas.openxmlformats.org/officeDocument/2006/relationships/hyperlink" Id="rId98" Target="bronnen/importbesluiten/DUINVALLEI_VEGETATIE.md" TargetMode="External" /><Relationship Type="http://schemas.openxmlformats.org/officeDocument/2006/relationships/hyperlink" Id="rId99" Target="bronnen/importbesluiten/MEIJENDEL_RUIMTELIJKE_LAGEN.md" TargetMode="External" /><Relationship Type="http://schemas.openxmlformats.org/officeDocument/2006/relationships/hyperlink" Id="rId100" Target="bronnen/importbesluiten/NDFF_SECURE_ONTVANGST.md" TargetMode="External" /><Relationship Type="http://schemas.openxmlformats.org/officeDocument/2006/relationships/hyperlink" Id="rId39" Target="database/TAXONREGISTER.md" TargetMode="External" /><Relationship Type="http://schemas.openxmlformats.org/officeDocument/2006/relationships/hyperlink" Id="rId82" Target="https://doi.org/10.1007/s10531-025-03175-x" TargetMode="External" /><Relationship Type="http://schemas.openxmlformats.org/officeDocument/2006/relationships/hyperlink" Id="rId77" Target="https://doi.org/10.1371/journal.pone.0099852" TargetMode="External" /><Relationship Type="http://schemas.openxmlformats.org/officeDocument/2006/relationships/hyperlink" Id="rId18" Target="https://doi.org/10.15468/adsbxs" TargetMode="External" /><Relationship Type="http://schemas.openxmlformats.org/officeDocument/2006/relationships/hyperlink" Id="rId79" Target="https://doi.org/10.17026/DANS-28X-UT8Q" TargetMode="External" /><Relationship Type="http://schemas.openxmlformats.org/officeDocument/2006/relationships/hyperlink" Id="rId75" Target="https://doi.org/10.5061/dryad.8cz8w9gnc" TargetMode="External" /><Relationship Type="http://schemas.openxmlformats.org/officeDocument/2006/relationships/hyperlink" Id="rId57" Target="https://doi.org/10.5281/zenodo.21796880" TargetMode="External" /><Relationship Type="http://schemas.openxmlformats.org/officeDocument/2006/relationships/hyperlink" Id="rId73" Target="https://doi.org/10.6084/m9.figshare.25425601.v1" TargetMode="External" /><Relationship Type="http://schemas.openxmlformats.org/officeDocument/2006/relationships/hyperlink" Id="rId70" Target="https://repository.naturalis.nl/pub/317221" TargetMode="External" /><Relationship Type="http://schemas.openxmlformats.org/officeDocument/2006/relationships/hyperlink" Id="rId68" Target="https://repository.naturalis.nl/pub/317242" TargetMode="External" /><Relationship Type="http://schemas.openxmlformats.org/officeDocument/2006/relationships/hyperlink" Id="rId54" Target="https://www.vwg-m.nl/meijendel/index.asp" TargetMode="External" /></Relationships>
</file>

<file path=word/_rels/footnotes.xml.rels><?xml version="1.0" encoding="UTF-8"?><Relationships xmlns="http://schemas.openxmlformats.org/package/2006/relationships"><Relationship Type="http://schemas.openxmlformats.org/officeDocument/2006/relationships/hyperlink" Id="rId38" Target="../gis/audit/externe_ecologie_fase1_2_manifest.json" TargetMode="External" /><Relationship Type="http://schemas.openxmlformats.org/officeDocument/2006/relationships/hyperlink" Id="rId96" Target="bronnen/MEIJENDEL_BRONNEN.md" TargetMode="External" /><Relationship Type="http://schemas.openxmlformats.org/officeDocument/2006/relationships/hyperlink" Id="rId97" Target="bronnen/audits/MEIJENDEL_BRONNEN_AUDIT.md" TargetMode="External" /><Relationship Type="http://schemas.openxmlformats.org/officeDocument/2006/relationships/hyperlink" Id="rId95" Target="bronnen/audits/NDFF_PROTOCOLAUDIT.md" TargetMode="External" /><Relationship Type="http://schemas.openxmlformats.org/officeDocument/2006/relationships/hyperlink" Id="rId94" Target="bronnen/bronvergelijkingen/NDFF_STAGINGDATASET.md" TargetMode="External" /><Relationship Type="http://schemas.openxmlformats.org/officeDocument/2006/relationships/hyperlink" Id="rId98" Target="bronnen/importbesluiten/DUINVALLEI_VEGETATIE.md" TargetMode="External" /><Relationship Type="http://schemas.openxmlformats.org/officeDocument/2006/relationships/hyperlink" Id="rId99" Target="bronnen/importbesluiten/MEIJENDEL_RUIMTELIJKE_LAGEN.md" TargetMode="External" /><Relationship Type="http://schemas.openxmlformats.org/officeDocument/2006/relationships/hyperlink" Id="rId100" Target="bronnen/importbesluiten/NDFF_SECURE_ONTVANGST.md" TargetMode="External" /><Relationship Type="http://schemas.openxmlformats.org/officeDocument/2006/relationships/hyperlink" Id="rId39" Target="database/TAXONREGISTER.md" TargetMode="External" /><Relationship Type="http://schemas.openxmlformats.org/officeDocument/2006/relationships/hyperlink" Id="rId82" Target="https://doi.org/10.1007/s10531-025-03175-x" TargetMode="External" /><Relationship Type="http://schemas.openxmlformats.org/officeDocument/2006/relationships/hyperlink" Id="rId77" Target="https://doi.org/10.1371/journal.pone.0099852" TargetMode="External" /><Relationship Type="http://schemas.openxmlformats.org/officeDocument/2006/relationships/hyperlink" Id="rId18" Target="https://doi.org/10.15468/adsbxs" TargetMode="External" /><Relationship Type="http://schemas.openxmlformats.org/officeDocument/2006/relationships/hyperlink" Id="rId79" Target="https://doi.org/10.17026/DANS-28X-UT8Q" TargetMode="External" /><Relationship Type="http://schemas.openxmlformats.org/officeDocument/2006/relationships/hyperlink" Id="rId75" Target="https://doi.org/10.5061/dryad.8cz8w9gnc" TargetMode="External" /><Relationship Type="http://schemas.openxmlformats.org/officeDocument/2006/relationships/hyperlink" Id="rId57" Target="https://doi.org/10.5281/zenodo.21796880" TargetMode="External" /><Relationship Type="http://schemas.openxmlformats.org/officeDocument/2006/relationships/hyperlink" Id="rId73" Target="https://doi.org/10.6084/m9.figshare.25425601.v1" TargetMode="External" /><Relationship Type="http://schemas.openxmlformats.org/officeDocument/2006/relationships/hyperlink" Id="rId70" Target="https://repository.naturalis.nl/pub/317221" TargetMode="External" /><Relationship Type="http://schemas.openxmlformats.org/officeDocument/2006/relationships/hyperlink" Id="rId68" Target="https://repository.naturalis.nl/pub/317242" TargetMode="External" /><Relationship Type="http://schemas.openxmlformats.org/officeDocument/2006/relationships/hyperlink" Id="rId54" Target="https://www.vwg-m.nl/meijendel/index.as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2026-10-15T11:41:18Z</dcterms:created>
  <dcterms:modified xsi:type="dcterms:W3CDTF">2026-10-15T11:41:18Z</dcterms:modified>
</cp:coreProperties>
</file>

<file path=docProps/custom.xml><?xml version="1.0" encoding="utf-8"?>
<Properties xmlns="http://schemas.openxmlformats.org/officeDocument/2006/custom-properties" xmlns:vt="http://schemas.openxmlformats.org/officeDocument/2006/docPropsVTypes"/>
</file>