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23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Gerichte mos- en korstmosvergelijking, 23 oktober 2026.</w:t>
      </w:r>
      <w:r>
        <w:t xml:space="preserve"> Van 10.903 openbare NDFF-mosregels en 2.998 openbare NDFF-korstmosregels met mogelijke PQ-herkomst uit 1981–2025 passen er respectievelijk 3.020 en 936 strikt één-op-één op een provinciale taxonregel: datum, taxon, bedekkingsklasse en ligging van het provinciepunt binnen de NDFF-polygoon stemmen overeen. Deze 3.956 NDFF-regels vertegenwoordigen 3.615 verschillende bronsignaturen en 3.615 provinciale taxonregels in 770 opnamen; 341 signaturen zijn in NDFF dubbel onder de protocollen 12.007 en 12.202 geregistreerd. Nog 228 regels hebben een nabije één-op-één-kandidaat binnen 8 meter. Een oorspronkelijke gedeelde opname-ID ontbreekt, zodat dit sterke inhoudelijke aanwijzingen voor dubbeling zijn, geen bewezen exacte bronidentiteiten. De overige kandidaten zijn niet automatisch onafhankelijk: 292 hebben meerdere passende koppelingen, 14 een afwijkende bedekking, 3.128 alleen een gelijke datum en soort op een andere plaats en 6.283 geen gelijke datum-soortcombinatie. De provinciale PQ-reeks blijft leidend; deze NDFF-regels worden niet als extra PQ-metingen of als zelfstandige trenddata opgeteld. De volledige beslisregels en alle 13.901 uitkomsten per NDFF-ID staan in docs/bronnen/audits/NDFF_PQ_MOS_KORSTMOS_VERGELIJKING.md en gis/audit/ndff_pq_mos_korstmos_audit_v1.csv. Er zijn geen bronregels, geometrieën of bestaande PQ-statussen gewijzigd.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 xml:space="preserve">bevat de klassen 1, 2, 3, 5 en 6. Gebruik voor analyses de velddatum; het rapportagejaar ligt bij de toegevoegde formulieren uit 2015 en 2018 telkens één jaar eerder.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ndff_korstmossen</w:t>
      </w:r>
      <w:r>
        <w:t xml:space="preserve"> </w:t>
      </w:r>
      <w:r>
        <w:t xml:space="preserve">en</w:t>
      </w:r>
      <w:r>
        <w:t xml:space="preserve"> </w:t>
      </w:r>
      <w:r>
        <w:rPr>
          <w:rStyle w:val="VerbatimChar"/>
        </w:rPr>
        <w:t xml:space="preserve">ndff_mossen</w:t>
      </w:r>
      <w:r>
        <w:t xml:space="preserve"> </w:t>
      </w:r>
      <w:r>
        <w:t xml:space="preserve">blijven NDFF-indexen voor alle bronhouders, niet uitsluitend BLWG. Voor protocol 02.204 meldde BLWG dat, voor zover bekend, geen oorspronkelijke kopgegevens worden bijgehouden. Vraag daarvoor nu niet opnieuw gegevens op.</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