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rPr>
        <w:t xml:space="preserve">TRIM-onzekerheidsmethode voorbereid, 17 oktober 2026. </w:t>
      </w:r>
      <w:r>
        <w:t>Voor de gevalideerde vogelanalyse over 1958–2025 bevat de statuslaag 156 soorten, hebben 135 soorten minimaal één TRIM-indexreeks en hebben 93 soorten een model in zowel 1958–1983 als 1984–2025. De bootstraplineage bevat 52 ooit getelde plots: 17 historische kernplots en 35 plots van het latere netwerk. Voor de primaire brug van 1981–1983 naar 1986–1988 zijn 33 gemeenschappelijke kandidaatplots beschikbaar; per soort wordt de daadwerkelijk bruikbare deelset gebruikt. Twintig plots zijn in alle zes kalibratiejaren geteld. De jaren 1984 en 1985 blijven in het tweede TRIM-model, maar gelden wegens de overgang in methode en tellerbezetting niet als primaire kalibratiejaren. Van de 93 soorten met twee bruikbare modelperioden hebben er 68 in de ongetrokken brondata een geldige nieuwe formele primaire brug. Daarvan hebben 33 soorten een geldige vaste index in ieder van de 68 jaren 1958–2025; zij vormen de gecorrigeerde vaste groepspopulatie. Deze aantallen beschrijven de ontwikkelbron en worden na ontvangst van 2026 opnieuw bepaald.</w:t>
      </w:r>
    </w:p>
    <w:p>
      <w:pPr>
        <w:pStyle w:val="BodyText"/>
      </w:pPr>
      <w:r>
        <w:t>De statistische bruikbaarheid verandert als volgt. De twee afzonderlijke TRIM-perioden blijven primair. Na complete en gevalideerde cijfers over 2026 kan de aanvullende trend 1958–2026 formele onzekerheid krijgen via een gestratificeerde clusterbootstrap van soorten, brugfactoren en groepen. De volledige groepsvariant blijft een samenstellingsgevoeligheid. De alternatieve brugvensters en historische-kernvariant leveren een gevoeligheidsenvelop en geen 95%-betrouwbaarheidsinterval. Er is nog geen formeel bootstrapresultaat. De lokale 50-pilot over 1958–2025 voltooide alle replicaties zonder batchfout, maar slechts 5 van 21 primaire vaste groepsschatters haalden 95% geldigheid; 21 van 21 volledige gevoeligheidsschatters deden dat wel. Na correctie van de soortpoort leverde één rookreplicatie 7 van 21 geldige vaste groepen. De 500-validatie is daarom niet gestart, de 2026-cijfers ontbreken en niets is gepubliceerd.</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r>
        <w:t>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