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sz w:val="44"/>
        </w:rPr>
        <w:t>Analyse op hoofdlijnen en uitkomsten</w:t>
      </w:r>
    </w:p>
    <w:p>
      <w:pPr>
        <w:pStyle w:val="Documentmetadata"/>
        <w:keepLines w:val="0"/>
      </w:pPr>
      <w:r>
        <w:t>Stand: 29 oktober 2026</w:t>
      </w:r>
    </w:p>
    <w:p>
      <w:pPr>
        <w:pStyle w:val="Documentmetadata"/>
        <w:keepLines w:val="0"/>
      </w:pPr>
      <w:r>
        <w:rPr>
          <w:rFonts w:ascii="Arial" w:hAnsi="Arial" w:eastAsia="Arial"/>
          <w:b/>
        </w:rPr>
        <w:t>Status:</w:t>
      </w:r>
      <w:r>
        <w:rPr>
          <w:rFonts w:ascii="Arial" w:hAnsi="Arial" w:eastAsia="Arial"/>
        </w:rPr>
        <w:t xml:space="preserve"> de analysematrix, tellergevoeligheid, vegetatiestappen, structuurproeven, omgevingsmodellen, niet-lineaire vertraagde modellen en de eerste formele poweranalyse zijn uitgevoerd. Drie vertraagde relaties bleven als voorspellende kandidaat over, maar geen daarvan vormt al bewijs voor een ecologische oorzaak-gevolgrelatie</w:t>
      </w:r>
    </w:p>
    <w:p>
      <w:pPr>
        <w:pStyle w:val="Documentmetadata"/>
        <w:keepLines w:val="0"/>
      </w:pPr>
      <w:r>
        <w:rPr>
          <w:rFonts w:ascii="Arial" w:hAnsi="Arial" w:eastAsia="Arial"/>
          <w:b/>
        </w:rPr>
        <w:t>Beoogd eindproduct:</w:t>
      </w:r>
      <w:r>
        <w:rPr>
          <w:rFonts w:ascii="Arial" w:hAnsi="Arial" w:eastAsia="Arial"/>
        </w:rPr>
        <w:t xml:space="preserve"> artikel voor </w:t>
      </w:r>
      <w:r>
        <w:rPr>
          <w:rFonts w:ascii="Arial" w:hAnsi="Arial" w:eastAsia="Arial"/>
          <w:i/>
        </w:rPr>
        <w:t>Holland's Duinen</w:t>
      </w:r>
    </w:p>
    <w:p>
      <w:pPr>
        <w:pStyle w:val="Heading1"/>
      </w:pPr>
      <w:r>
        <w:rPr>
          <w:rFonts w:ascii="Arial" w:hAnsi="Arial" w:eastAsia="Arial"/>
        </w:rPr>
        <w:t>Executive summary</w:t>
      </w:r>
    </w:p>
    <w:p>
      <w:pPr>
        <w:keepLines w:val="0"/>
      </w:pPr>
      <w:r>
        <w:rPr>
          <w:rFonts w:ascii="Arial" w:hAnsi="Arial" w:eastAsia="Arial"/>
        </w:rPr>
        <w:t>De broedvogelreeks van Meijendel beschrijft de ontwikkeling van vogelsoorten en vogelgroepen over 1958–2025. De aanvullende analyse onderzocht vervolgens of die ontwikkeling samenhangt met veranderingen in vegetatie en omgeving, en of zulke relaties ook buiten de gegevens waarmee het model is geschat blijven voorspellen. De hoofdconclusie is begrensd. De vogelgegevens zijn geschikt voor trendbeschrijving, maar de nu gekoppelde vegetatie- en omgevingsreeksen leveren nog geen breed model dat veranderingen in de broedvogelbevolking betrouwbaar voorspelt. Ruimtelijke verschillen tussen plots zijn veel duidelijker dan veranderingen binnen dezelfde plot door de tijd.</w:t>
      </w:r>
    </w:p>
    <w:p>
      <w:pPr>
        <w:keepLines w:val="0"/>
      </w:pPr>
      <w:r>
        <w:rPr>
          <w:rFonts w:ascii="Arial" w:hAnsi="Arial" w:eastAsia="Arial"/>
        </w:rPr>
        <w:t>De analyse is stapsgewijs opgebouwd. Eerst zijn de Natura 2000-scope, bronafhankelijke nullen, formeel afgekeurde tellingen en ontbrekende waarden vastgelegd. De standaardmatrix omvat 328.692 soort–plot–jaarcellen voor 156 soorten, 52 plots en 2.107 werkelijk getelde plotjaren uit 1958–2025. M66 en M91 blijven buiten de analyse. Letterlijke SOVON-nullen, afgeleide jaarverslagnullen, lege cellen en formele afkeur blijven afzonderlijk herkenbaar. Daardoor wordt een ontbrekende waarneming niet stilzwijgend als nul behandeld.</w:t>
      </w:r>
    </w:p>
    <w:p>
      <w:pPr>
        <w:keepLines w:val="0"/>
      </w:pPr>
      <w:r>
        <w:rPr>
          <w:rFonts w:ascii="Arial" w:hAnsi="Arial" w:eastAsia="Arial"/>
        </w:rPr>
        <w:t>Daarna is het waarnemingsproces onderzocht. Het tellermodel gebruikt 203.628 geldige soort–plot–jaarrijen uit 2.007 plotjaren met een bekende teller of een bekend tellerteam. Ook na correctie voor soort, jaar, plot, oppervlakte en bron blijven systematische verschillen bestaan die samenhangen met de teller of het tellerteam. De bijbehorende spreiding bedraagt op logschaal 0,382, ofwel een factor 1,47 per standaardafwijking. Dit is geen vast correctiepercentage en geen ranglijst van tellers. Volgende modellen nemen teller of tellerteam als random effect op en schatten ervaring in dezelfde plot en elders afzonderlijk. De mediane soorttrend verandert hierdoor weinig, maar bij 67 van 121 voldoende gedekte soorten meer dan 0,5 procentpunt per jaar. De mediane breedte van het onzekerheidsinterval neemt met 11% toe. Dat voorkomt dat verschillen tussen tellers volledig als vogelontwikkeling of ecologische reactie worden gelezen.</w:t>
      </w:r>
    </w:p>
    <w:p>
      <w:pPr>
        <w:keepLines w:val="0"/>
      </w:pPr>
      <w:r>
        <w:rPr>
          <w:rFonts w:ascii="Arial" w:hAnsi="Arial" w:eastAsia="Arial"/>
        </w:rPr>
        <w:t>Vervolgens zijn drie brede PQ-maten onderzocht: plantensoortenrijkdom, Shannon-diversiteit en totale bedekking. Deze modellen gebruiken 37.140 soort–plot–jaarrijen, 406 vogelplotjaren, 35 plots en 154 soorten over 1989–2025. De maten beschrijven duidelijke verschillen tussen plots, maar een verandering binnen dezelfde plot hangt gemiddeld niet duidelijk samen met een verandering in territoriumaantallen, ook niet één tot drie jaar later. De volledige plantensamenstelling en de IPI-indeling verbeteren de beschrijving van ruimtelijke habitatverschillen enigszins, maar niet de voorspelling van latere jaren.</w:t>
      </w:r>
    </w:p>
    <w:p>
      <w:pPr>
        <w:keepLines w:val="0"/>
      </w:pPr>
      <w:r>
        <w:rPr>
          <w:rFonts w:ascii="Arial" w:hAnsi="Arial" w:eastAsia="Arial"/>
        </w:rPr>
        <w:t>De analyse is daarna uitgebreid met ecologisch specifiekere structuur. De landbedekkingskaarten van 2001 en 2022 geven voor 25 plots informatie over open zand, lage vegetatie, struweel, bomen, riet en water. Wateroppervlak levert het duidelijkste ruimtelijke signaal voor watervogels. Twee kaartmomenten zijn echter onvoldoende om vast te stellen wanneer de verandering plaatsvond of om een algemene vogelreactie door de tijd te voorspellen. De AHN2–AHN5-reeks levert voor 55 plots vier geharmoniseerde hoogtemomenten tussen 2008 en 2023. Alleen het boomgroepmodel kon de tijdstoets numeriek doorlopen; de geringe verbetering verdween bij het weglaten van één soort. AHN1 bleek te methodegevoelig om als vergelijkbaar vijfde moment te gebruiken. De proef met tien openbare luchtfoto's uit 2016–2024 bleef met een macro-F1 van 0,420–0,469 onder de vooraf gekozen grens van 0,60. Daaruit is daarom geen jaarlijkse vegetatiestructuurreeks afgeleid.</w:t>
      </w:r>
    </w:p>
    <w:p>
      <w:pPr/>
      <w:r>
        <w:t>De aanvullende representativiteitsanalyse laat zien dat de landbedekkingsklassen waarin minstens één PQ ligt binnen de 25 kaartplots per plot mediaan 47,2% van het oppervlak in 2001 en 58,4% in 2022 beslaan. Dat is klassedekking: de ruimtelijke spreiding van de PQ’s binnen zo’n klasse is hiermee niet getoetst. Oppervlakteweging kan de verdeling tussen bemonsterde klassen corrigeren, maar niet de ontbrekende klassen. Daarom is nog geen gewogen algemeen vogelmodel geschat.</w:t>
      </w:r>
    </w:p>
    <w:p>
      <w:pPr>
        <w:keepLines w:val="0"/>
      </w:pPr>
      <w:r>
        <w:rPr>
          <w:rFonts w:ascii="Arial" w:hAnsi="Arial" w:eastAsia="Arial"/>
        </w:rPr>
        <w:t>Weer, stikstofdepositie en CBS-landgebruik zijn als afzonderlijke verklaringsblokken toegevoegd. Weer is als correctie in de gerichte modellen opgenomen. Het stikstofmodel gebruikt 60.127 soort–plot–jaarrijen uit 674 plotjaren, 51 plots en 2005–2023. Het laat een verschil tussen plots zien, maar geen gemiddelde vogelverandering die binnen dezelfde plot met de depositie meeloopt. De landgebruikmodellen gebruiken 15.039 rijen uit 168 plotjaren, 49 plots en vier kaartjaren tussen 2010 en 2022. Bos en water beschrijven enkele ruimtelijke verschillen, maar de volledige modellen en tijdstoetsen zijn te instabiel voor een voorspellende conclusie. Geen van deze habitat- en omgevingsmodellen ging door naar een poweranalyse.</w:t>
      </w:r>
    </w:p>
    <w:p>
      <w:pPr>
        <w:keepLines w:val="0"/>
      </w:pPr>
      <w:r>
        <w:rPr>
          <w:rFonts w:ascii="Arial" w:hAnsi="Arial" w:eastAsia="Arial"/>
        </w:rPr>
        <w:t>De laatste modelstap onderzocht niet-lineaire en meerdere jaren beslaande reacties op werkelijke veranderingen tussen opeenvolgende PQ-opnamen. Van zeventien vooraf gekozen relaties bleven drie territoriumrelaties als voorspellende kandidaat over: duingrasland met de gehele vogelgemeenschap, bomen en bos met de gehele gemeenschap, en duingrasland met bodemfoeragerende insecteneters. De geschatte reactie is direct na de vegetatieverandering vrijwel afwezig en wordt volgens de modelcurve pas na veertien tot vijftien jaar groter. De onzekerheidsintervallen omvatten dan steeds geen effect. Een afzonderlijke gebeurtenisanalyse bevestigde bovendien de richting niet. De drie relaties zijn daarom kandidaten voor beoordeling van detecteerbaarheid, geen aangetoonde ecologische verbanden.</w:t>
      </w:r>
    </w:p>
    <w:p>
      <w:pPr>
        <w:keepLines w:val="0"/>
      </w:pPr>
      <w:r>
        <w:rPr>
          <w:rFonts w:ascii="Arial" w:hAnsi="Arial" w:eastAsia="Arial"/>
        </w:rPr>
        <w:t>De poweranalyse gebruikt voor deze drie kandidaten 650 vogelplotjaren in 35 plots uit 1994–2025, gekoppeld aan 362 PQ-veranderingsintervallen en 96 teller/tellerteamidentificaties. Van de 650 reacties liggen er 635, of 97,7%, binnen nul tot drie jaar na de vegetatieverandering. Slechts vijftien liggen vier tot veertien jaar later en slechts vijf acht tot veertien jaar later. Geen van de zes richting-specifieke modelreacties haalt 80% power; de berekende power bedraagt 25,5–41,0%. Afhankelijk van relatie en richting is bij veertien jaar vertraging pas een verandering van 35–65% in het territoriumaantal met ten minste 80% power detecteerbaar. Dit percentage betreft de vogelreactie na een mediane vegetatieverandering, niet de vegetatieverandering zelf.</w:t>
      </w:r>
    </w:p>
    <w:p>
      <w:pPr>
        <w:keepLines w:val="0"/>
      </w:pPr>
      <w:r>
        <w:rPr>
          <w:rFonts w:ascii="Arial" w:hAnsi="Arial" w:eastAsia="Arial"/>
        </w:rPr>
        <w:t>De praktische conclusie is dat meer jaarlijkse vogeltellingen alleen het probleem niet oplossen. Voor een voorspellend model zijn vooral meer onafhankelijke vegetatieveranderingen nodig, gevolgd door vogelmetingen op vooraf gekozen latere termijnen. Herhaalde PQ-metingen in meer vogelplots en een betrouwbare tijdreeks van horizontale vegetatiestructuur kunnen die informatie leveren. De bestaande vogelreeks blijft waardevol voor trends en voor het toetsen van concrete, ecologisch vooraf omschreven relaties. De huidige combinatie van bronnen ondersteunt echter nog geen causale of breed toepasbare voorspelling van toekomstige veranderingen in de broedvogelbevolking.</w:t>
      </w:r>
    </w:p>
    <w:p>
      <w:r>
        <w:br w:type="page"/>
      </w:r>
    </w:p>
    <w:p>
      <w:pPr>
        <w:pStyle w:val="Heading1"/>
      </w:pPr>
      <w:r>
        <w:rPr>
          <w:rFonts w:ascii="Arial" w:hAnsi="Arial" w:eastAsia="Arial"/>
        </w:rPr>
        <w:t>Doel</w:t>
      </w:r>
    </w:p>
    <w:p>
      <w:pPr>
        <w:keepLines w:val="0"/>
      </w:pPr>
      <w:r>
        <w:rPr>
          <w:rFonts w:ascii="Arial" w:hAnsi="Arial" w:eastAsia="Arial"/>
        </w:rPr>
        <w:t>De lange broedvogelreeks laat zien hoe aantallen en soortensamenstelling in Meijendel zijn veranderd. Deze analyse stelt een volgende vraag: in hoeverre hangen die veranderingen samen met vegetatie en andere biotische en abiotische omstandigheden, hoeveel daarvan wordt beïnvloed door verschillen tussen tellers en hoe gevoelig is de meetopzet voor zulke relaties en veranderingen?</w:t>
      </w:r>
    </w:p>
    <w:p>
      <w:pPr>
        <w:keepLines w:val="0"/>
      </w:pPr>
      <w:r>
        <w:rPr>
          <w:rFonts w:ascii="Arial" w:hAnsi="Arial" w:eastAsia="Arial"/>
        </w:rPr>
        <w:t>Het doel is niet zoveel mogelijk variabelen in één model te plaatsen. We bouwen een controleerbare reeks modellen. Eerst het waarnemingsproces. Daarna de ecologische verklaringen. Vervolgens toetsen we of deze buiten de gebruikte gegevens blijven voorspellen. Pas daarna volgt de poweranalyse.</w:t>
      </w:r>
    </w:p>
    <w:p>
      <w:pPr>
        <w:keepLines w:val="0"/>
      </w:pPr>
      <w:r>
        <w:rPr>
          <w:rFonts w:ascii="Arial" w:hAnsi="Arial" w:eastAsia="Arial"/>
        </w:rPr>
        <w:t>Een statistische samenhang is niet automatisch een een-op-een-oorzaak-gevolg- relatie. Vegetatie, voedsel, water, bodem, weer, beheer, begrazing, predatie, verstuiving en rust kunnen tegelijk werken en elkaar versterken of verzwakken.</w:t>
      </w:r>
    </w:p>
    <w:p>
      <w:pPr>
        <w:pStyle w:val="Heading1"/>
      </w:pPr>
      <w:r>
        <w:rPr>
          <w:rFonts w:ascii="Arial" w:hAnsi="Arial" w:eastAsia="Arial"/>
        </w:rPr>
        <w:t>Wat we nu weten</w:t>
      </w:r>
    </w:p>
    <w:p>
      <w:pPr>
        <w:keepLines w:val="0"/>
      </w:pPr>
      <w:r>
        <w:rPr>
          <w:rFonts w:ascii="Arial" w:hAnsi="Arial" w:eastAsia="Arial"/>
        </w:rPr>
        <w:t>De meetreeks kan niet worden gelezen alsof ieder verschil in territoriumaantal uitsluitend een verschil in vogelstand is. Ook nadat soort, tijd, plot, oppervlakte, bron, jaar en plotjaar zijn verwerkt, blijven systematische verschillen die samenhangen met teller/tellerteam over. Het waarnemingsproces moet daarom in alle volgende verklarende modellen worden meegenomen.</w:t>
      </w:r>
    </w:p>
    <w:p>
      <w:pPr>
        <w:keepLines w:val="0"/>
      </w:pPr>
      <w:r>
        <w:rPr>
          <w:rFonts w:ascii="Arial" w:hAnsi="Arial" w:eastAsia="Arial"/>
        </w:rPr>
        <w:t>Dat gebeurt niet door bestaande territoriumaantallen te veranderen. Het model schat voor iedere teller of ieder tellerteam een afwijking ten opzichte van het gemiddelde en houdt daarnaast afzonderlijk rekening met eerder geregistreerde ervaring in dezelfde plot en elders in Meijendel. De tellerfase bepaalt dus de vorm van de correctie, niet één universele correctiefactor.</w:t>
      </w:r>
    </w:p>
    <w:p>
      <w:pPr>
        <w:keepLines w:val="0"/>
      </w:pPr>
      <w:r>
        <w:rPr>
          <w:rFonts w:ascii="Arial" w:hAnsi="Arial" w:eastAsia="Arial"/>
        </w:rPr>
        <w:t>Over 1958–2025 is geen gemiddeld leereffect binnen dezelfde plot aangetoond. Er is wel een positief verband met eerder geregistreerde ervaring in andere plots. Dat kan op algemene tellerervaring wijzen, maar is geen bewijs dat een beginner een bepaald percentage vogels mist. Daarvoor ontbreken betrouwbare tellerkoppelingen per afzonderlijk bezoek en volledig vastgelegde ervaring van vóór de Meijendelregistratie.</w:t>
      </w:r>
    </w:p>
    <w:p>
      <w:pPr>
        <w:keepLines w:val="0"/>
      </w:pPr>
      <w:r>
        <w:rPr>
          <w:rFonts w:ascii="Arial" w:hAnsi="Arial" w:eastAsia="Arial"/>
        </w:rPr>
        <w:t>De correctie verandert de mediane soorttrend weinig, maar bij een aanmerkelijke groep soorten wel. Bovendien neemt de berekende onzekerheid toe. Dat is geen verlies van kwaliteit: het voorkomt dat verschillen tussen tellers ten onrechte volledig als veranderingen in de vogelstand of als ecologische relatie worden geïnterpreteerd.</w:t>
      </w:r>
    </w:p>
    <w:p>
      <w:pPr>
        <w:pStyle w:val="Heading1"/>
      </w:pPr>
      <w:r>
        <w:rPr>
          <w:rFonts w:ascii="Arial" w:hAnsi="Arial" w:eastAsia="Arial"/>
        </w:rPr>
        <w:t>Onderzoeksvragen</w:t>
      </w:r>
    </w:p>
    <w:p>
      <w:pPr>
        <w:keepLines/>
        <w:ind w:left="461" w:hanging="346"/>
      </w:pPr>
      <w:r>
        <w:rPr>
          <w:rFonts w:ascii="Arial" w:hAnsi="Arial" w:eastAsia="Arial"/>
        </w:rPr>
        <w:t>1. Hoe verandert de broedvogelgemeenschap door de tijd en tussen plots?</w:t>
      </w:r>
    </w:p>
    <w:p>
      <w:pPr>
        <w:keepLines/>
        <w:ind w:left="461" w:hanging="346"/>
      </w:pPr>
      <w:r>
        <w:rPr>
          <w:rFonts w:ascii="Arial" w:hAnsi="Arial" w:eastAsia="Arial"/>
        </w:rPr>
        <w:t>2. Hoeveel van die verschillen hangt samen met de gemeten PQ-vegetatie?</w:t>
      </w:r>
    </w:p>
    <w:p>
      <w:pPr>
        <w:keepLines/>
        <w:ind w:left="461" w:hanging="346"/>
      </w:pPr>
      <w:r>
        <w:rPr>
          <w:rFonts w:ascii="Arial" w:hAnsi="Arial" w:eastAsia="Arial"/>
        </w:rPr>
        <w:t>3. Voegt PQ-vegetatie voorspellende informatie toe boven tijd, plot, oppervlakte, methode, telinspanning, teller en weer?</w:t>
      </w:r>
    </w:p>
    <w:p>
      <w:pPr>
        <w:keepLines/>
        <w:ind w:left="461" w:hanging="346"/>
      </w:pPr>
      <w:r>
        <w:rPr>
          <w:rFonts w:ascii="Arial" w:hAnsi="Arial" w:eastAsia="Arial"/>
        </w:rPr>
        <w:t>4. Reageren functionele, habitatgebonden en andere ecologische vogelgroepen verschillend?</w:t>
      </w:r>
    </w:p>
    <w:p>
      <w:pPr>
        <w:keepLines/>
        <w:ind w:left="461" w:hanging="346"/>
      </w:pPr>
      <w:r>
        <w:rPr>
          <w:rFonts w:ascii="Arial" w:hAnsi="Arial" w:eastAsia="Arial"/>
        </w:rPr>
        <w:t>5. Verandert de functionele samenstelling van de gemeenschap, bijvoorbeeld het aandeel grondbroeders, holenbroeders, insecteneters of langeafstandstrekkers?</w:t>
      </w:r>
    </w:p>
    <w:p>
      <w:pPr>
        <w:keepLines/>
        <w:ind w:left="461" w:hanging="346"/>
      </w:pPr>
      <w:r>
        <w:rPr>
          <w:rFonts w:ascii="Arial" w:hAnsi="Arial" w:eastAsia="Arial"/>
        </w:rPr>
        <w:t>6. Hoeveel extra voorspellende informatie leveren stikstof, landgebruik en ruimtelijke kenmerken?</w:t>
      </w:r>
    </w:p>
    <w:p>
      <w:pPr>
        <w:keepLines/>
        <w:ind w:left="461" w:hanging="346"/>
      </w:pPr>
      <w:r>
        <w:rPr>
          <w:rFonts w:ascii="Arial" w:hAnsi="Arial" w:eastAsia="Arial"/>
        </w:rPr>
        <w:t>7. Welke relaties of veranderingen konden de historische gegevens aantonen en hoeveel toekomstige meetjaren zijn nodig om vooraf gekozen veranderingen betrouwbaar te detecteren?</w:t>
      </w:r>
    </w:p>
    <w:p>
      <w:pPr>
        <w:pStyle w:val="Heading1"/>
      </w:pPr>
      <w:r>
        <w:rPr>
          <w:rFonts w:ascii="Arial" w:hAnsi="Arial" w:eastAsia="Arial"/>
        </w:rPr>
        <w:t>Gegevensbasis bij aanvang</w:t>
      </w:r>
    </w:p>
    <w:p>
      <w:pPr>
        <w:keepLines w:val="0"/>
      </w:pPr>
      <w:r>
        <w:rPr>
          <w:rFonts w:ascii="Arial" w:hAnsi="Arial" w:eastAsia="Arial"/>
        </w:rPr>
        <w:t>De stand hieronder is een startmoment, geen vast eindtotaal. Iedere formele modeluitvoering herhaalt de tellingen uit de levende database en legt de uitkomst in een uitvoermanifest vast.</w:t>
      </w:r>
    </w:p>
    <w:p>
      <w:pPr>
        <w:pStyle w:val="Heading2"/>
      </w:pPr>
      <w:r>
        <w:rPr>
          <w:rFonts w:ascii="Arial" w:hAnsi="Arial" w:eastAsia="Arial"/>
        </w:rPr>
        <w:t>Broedvogels</w:t>
      </w:r>
    </w:p>
    <w:p>
      <w:pPr>
        <w:keepLines w:val="0"/>
      </w:pPr>
      <w:r>
        <w:rPr>
          <w:rFonts w:ascii="Arial" w:hAnsi="Arial" w:eastAsia="Arial"/>
        </w:rPr>
        <w:t xml:space="preserve">De standaard Natura 2000-selectie uit </w:t>
      </w:r>
      <w:r>
        <w:rPr>
          <w:rFonts w:ascii="Courier New" w:hAnsi="Courier New" w:eastAsia="Courier New"/>
          <w:sz w:val="19"/>
        </w:rPr>
        <w:t>territoria</w:t>
      </w:r>
      <w:r>
        <w:rPr>
          <w:rFonts w:ascii="Arial" w:hAnsi="Arial" w:eastAsia="Arial"/>
        </w:rPr>
        <w:t xml:space="preserve"> bevat op 9 oktober 2026 151.583 bronregels in 52 plots en 2.107 getelde plotjaren uit 1958–2025. Binnen deze selectie zijn 156 soorten ten minste eenmaal met een positief territorium vastgesteld. M66 en M91 blijven buiten deze selectie.</w:t>
      </w:r>
    </w:p>
    <w:p>
      <w:pPr>
        <w:keepLines w:val="0"/>
      </w:pPr>
      <w:r>
        <w:rPr>
          <w:rFonts w:ascii="Arial" w:hAnsi="Arial" w:eastAsia="Arial"/>
        </w:rPr>
        <w:t xml:space="preserve">De analyse gebruikt de centrale territoriumpoort. Letterlijke SOVON-nullen uit 1984–2025 blijven nul; lege SOVON-cellen blijven </w:t>
      </w:r>
      <w:r>
        <w:rPr>
          <w:rFonts w:ascii="Courier New" w:hAnsi="Courier New" w:eastAsia="Courier New"/>
          <w:sz w:val="19"/>
        </w:rPr>
        <w:t>NA</w:t>
      </w:r>
      <w:r>
        <w:rPr>
          <w:rFonts w:ascii="Arial" w:hAnsi="Arial" w:eastAsia="Arial"/>
        </w:rPr>
        <w:t>; formeel afgekeurde SOVON-plotjaren leveren geen SOVON-analysewaarde. Voor geldige jaarverslag-plotjaren geldt de afzonderlijk vastgelegde regel voor afgeleide jaarverslagnullen. De bron en nulstatus blijven per analysewaarde herleidbaar.</w:t>
      </w:r>
    </w:p>
    <w:p>
      <w:pPr>
        <w:pStyle w:val="Heading2"/>
      </w:pPr>
      <w:r>
        <w:rPr>
          <w:rFonts w:ascii="Arial" w:hAnsi="Arial" w:eastAsia="Arial"/>
        </w:rPr>
        <w:t>PQ-vegetatie</w:t>
      </w:r>
    </w:p>
    <w:p>
      <w:pPr>
        <w:keepLines w:val="0"/>
      </w:pPr>
      <w:r>
        <w:rPr>
          <w:rFonts w:ascii="Arial" w:hAnsi="Arial" w:eastAsia="Arial"/>
        </w:rPr>
        <w:t>De provinciale PQ-verzameling omvat 254 PQ's, 2.007 vegetatieopnamen en 53.122 taxonregels uit 1981–2025. Na koppeling aan de standaard vogelplots zijn 501 PQ-plotjaren in 35 plots beschikbaar. De bruto overlap met getelde vogelplotjaren bedraagt 407 combinaties in hetzelfde jaar, 392 bij één jaar vertraging, 372 bij twee jaar en 350 bij drie jaar.</w:t>
      </w:r>
    </w:p>
    <w:p>
      <w:pPr>
        <w:keepLines w:val="0"/>
      </w:pPr>
      <w:r>
        <w:rPr>
          <w:rFonts w:ascii="Arial" w:hAnsi="Arial" w:eastAsia="Arial"/>
        </w:rPr>
        <w:t xml:space="preserve">De provinciale </w:t>
      </w:r>
      <w:r>
        <w:rPr>
          <w:rFonts w:ascii="Courier New" w:hAnsi="Courier New" w:eastAsia="Courier New"/>
          <w:sz w:val="19"/>
        </w:rPr>
        <w:t>pq_*</w:t>
      </w:r>
      <w:r>
        <w:rPr>
          <w:rFonts w:ascii="Arial" w:hAnsi="Arial" w:eastAsia="Arial"/>
        </w:rPr>
        <w:t>-reeks is leidend. NDFF-PQ is uitsluitend een secundaire controlebron en telt niet zelfstandig mee. De velden voor milieu-indicatie en afwijkende bodemcodes worden pas gebruikt nadat hun betekenis en kwaliteit uit de bronmetadata zijn vastgesteld.</w:t>
      </w:r>
    </w:p>
    <w:p>
      <w:pPr>
        <w:pStyle w:val="Heading2"/>
      </w:pPr>
      <w:r>
        <w:rPr>
          <w:rFonts w:ascii="Arial" w:hAnsi="Arial" w:eastAsia="Arial"/>
        </w:rPr>
        <w:t>Overige verklarende lagen</w:t>
      </w:r>
    </w:p>
    <w:p>
      <w:pPr>
        <w:pStyle w:val="ListBullet"/>
        <w:keepLines/>
      </w:pPr>
      <w:r>
        <w:rPr>
          <w:rFonts w:ascii="Courier New" w:hAnsi="Courier New" w:eastAsia="Courier New"/>
          <w:sz w:val="19"/>
        </w:rPr>
        <w:t>weer</w:t>
      </w:r>
      <w:r>
        <w:rPr>
          <w:rFonts w:ascii="Arial" w:hAnsi="Arial" w:eastAsia="Arial"/>
        </w:rPr>
        <w:t xml:space="preserve"> en de genormaliseerde view </w:t>
      </w:r>
      <w:r>
        <w:rPr>
          <w:rFonts w:ascii="Courier New" w:hAnsi="Courier New" w:eastAsia="Courier New"/>
          <w:sz w:val="19"/>
        </w:rPr>
        <w:t>weer_analyse</w:t>
      </w:r>
      <w:r>
        <w:rPr>
          <w:rFonts w:ascii="Arial" w:hAnsi="Arial" w:eastAsia="Arial"/>
        </w:rPr>
        <w:t xml:space="preserve"> bevatten 24.837 dagrecords van 1 januari 1958 tot en met 31 december 2025.</w:t>
      </w:r>
    </w:p>
    <w:p>
      <w:pPr>
        <w:pStyle w:val="ListBullet"/>
        <w:keepLines/>
      </w:pPr>
      <w:r>
        <w:rPr>
          <w:rFonts w:ascii="Courier New" w:hAnsi="Courier New" w:eastAsia="Courier New"/>
          <w:sz w:val="19"/>
        </w:rPr>
        <w:t>plot_jaar_stikstof</w:t>
      </w:r>
      <w:r>
        <w:rPr>
          <w:rFonts w:ascii="Arial" w:hAnsi="Arial" w:eastAsia="Arial"/>
        </w:rPr>
        <w:t xml:space="preserve"> bevat 1.027 plotjaren in 55 plots uit 2005–2023.</w:t>
      </w:r>
    </w:p>
    <w:p>
      <w:pPr>
        <w:pStyle w:val="ListBullet"/>
        <w:keepLines/>
      </w:pPr>
      <w:r>
        <w:rPr>
          <w:rFonts w:ascii="Courier New" w:hAnsi="Courier New" w:eastAsia="Courier New"/>
          <w:sz w:val="19"/>
        </w:rPr>
        <w:t>plot_jaar_landgebruik</w:t>
      </w:r>
      <w:r>
        <w:rPr>
          <w:rFonts w:ascii="Arial" w:hAnsi="Arial" w:eastAsia="Arial"/>
        </w:rPr>
        <w:t xml:space="preserve"> bevat 918 klasseregels voor 275 plotjaren in 55 plots uit 1996–2022. Dit zijn kaartmomenten, geen jaarlijkse metingen.</w:t>
      </w:r>
    </w:p>
    <w:p>
      <w:pPr>
        <w:pStyle w:val="ListBullet"/>
        <w:keepLines/>
      </w:pPr>
      <w:r>
        <w:rPr>
          <w:rFonts w:ascii="Courier New" w:hAnsi="Courier New" w:eastAsia="Courier New"/>
          <w:sz w:val="19"/>
        </w:rPr>
        <w:t>plot_jaar_habitat</w:t>
      </w:r>
      <w:r>
        <w:rPr>
          <w:rFonts w:ascii="Arial" w:hAnsi="Arial" w:eastAsia="Arial"/>
        </w:rPr>
        <w:t xml:space="preserve"> bevat 384 habitatregels voor 55 plots, uitsluitend voor 2014.</w:t>
      </w:r>
    </w:p>
    <w:p>
      <w:pPr>
        <w:pStyle w:val="ListBullet"/>
        <w:keepLines/>
      </w:pPr>
      <w:r>
        <w:rPr>
          <w:rFonts w:ascii="Courier New" w:hAnsi="Courier New" w:eastAsia="Courier New"/>
          <w:sz w:val="19"/>
        </w:rPr>
        <w:t>plot_jaar_ahn_dtm</w:t>
      </w:r>
      <w:r>
        <w:rPr>
          <w:rFonts w:ascii="Arial" w:hAnsi="Arial" w:eastAsia="Arial"/>
        </w:rPr>
        <w:t xml:space="preserve"> bevat 55 plotregels voor 2025.</w:t>
      </w:r>
    </w:p>
    <w:p>
      <w:pPr>
        <w:pStyle w:val="ListBullet"/>
        <w:keepLines/>
      </w:pPr>
      <w:r>
        <w:rPr>
          <w:rFonts w:ascii="Courier New" w:hAnsi="Courier New" w:eastAsia="Courier New"/>
          <w:sz w:val="19"/>
        </w:rPr>
        <w:t>plot_jaar_infra</w:t>
      </w:r>
      <w:r>
        <w:rPr>
          <w:rFonts w:ascii="Arial" w:hAnsi="Arial" w:eastAsia="Arial"/>
        </w:rPr>
        <w:t xml:space="preserve"> bevat 220 waarden voor 55 plots, uitsluitend voor 2024.</w:t>
      </w:r>
    </w:p>
    <w:p>
      <w:pPr>
        <w:pStyle w:val="ListBullet"/>
        <w:keepLines/>
      </w:pPr>
      <w:r>
        <w:rPr>
          <w:rFonts w:ascii="Courier New" w:hAnsi="Courier New" w:eastAsia="Courier New"/>
          <w:sz w:val="19"/>
        </w:rPr>
        <w:t>plot_jaar_toegankelijkheid</w:t>
      </w:r>
      <w:r>
        <w:rPr>
          <w:rFonts w:ascii="Arial" w:hAnsi="Arial" w:eastAsia="Arial"/>
        </w:rPr>
        <w:t xml:space="preserve"> bevat 55 plotregels voor 2024.</w:t>
      </w:r>
    </w:p>
    <w:p>
      <w:pPr>
        <w:pStyle w:val="ListBullet"/>
        <w:keepLines/>
      </w:pPr>
      <w:r>
        <w:rPr>
          <w:rFonts w:ascii="Courier New" w:hAnsi="Courier New" w:eastAsia="Courier New"/>
          <w:sz w:val="19"/>
        </w:rPr>
        <w:t>plot_jaar_maatregel</w:t>
      </w:r>
      <w:r>
        <w:rPr>
          <w:rFonts w:ascii="Arial" w:hAnsi="Arial" w:eastAsia="Arial"/>
        </w:rPr>
        <w:t xml:space="preserve"> bevat 144 registraties in 16 plots uit 1991–1999, uitsluitend begrazing. Dit is geen gebiedsdekkende beheerreeks.</w:t>
      </w:r>
    </w:p>
    <w:p>
      <w:pPr>
        <w:keepLines w:val="0"/>
      </w:pPr>
      <w:r>
        <w:rPr>
          <w:rFonts w:ascii="Arial" w:hAnsi="Arial" w:eastAsia="Arial"/>
        </w:rPr>
        <w:t>Deze aantallen beschrijven de volledige brontabellen. Bij modelbouw wordt opnieuw de standaard Natura 2000-scope toegepast, zodat records voor M66 en M91 niet stilzwijgend in de analyse terechtkomen.</w:t>
      </w:r>
    </w:p>
    <w:p>
      <w:pPr>
        <w:keepLines w:val="0"/>
      </w:pPr>
      <w:r>
        <w:rPr>
          <w:rFonts w:ascii="Arial" w:hAnsi="Arial" w:eastAsia="Arial"/>
        </w:rPr>
        <w:t>Habitat, hoogte, infrastructuur en toegankelijkheid kunnen voorlopig alleen blijvende ruimtelijke verschillen tussen plots helpen verklaren. Met één peiljaar kunnen zij geen verandering binnen een plot verklaren.</w:t>
      </w:r>
    </w:p>
    <w:p>
      <w:pPr>
        <w:keepLines w:val="0"/>
      </w:pPr>
      <w:r>
        <w:rPr>
          <w:rFonts w:ascii="Arial" w:hAnsi="Arial" w:eastAsia="Arial"/>
        </w:rPr>
        <w:t xml:space="preserve">De aantallen en bronbeperkingen in deze startstand zijn ontleend aan de levende database op 9 oktober 2026 en getoetst aan </w:t>
      </w:r>
      <w:hyperlink r:id="rId11">
        <w:r>
          <w:rPr>
            <w:color w:val="5B7F98"/>
            <w:u w:val="single"/>
            <w:rFonts w:ascii="Arial" w:hAnsi="Arial"/>
          </w:rPr>
          <w:t>`docs/MEIJENDEL_BRONREGISTER.md`</w:t>
        </w:r>
      </w:hyperlink>
      <w:r>
        <w:rPr>
          <w:rFonts w:ascii="Arial" w:hAnsi="Arial" w:eastAsia="Arial"/>
        </w:rPr>
        <w:t xml:space="preserve">, </w:t>
      </w:r>
      <w:hyperlink r:id="rId12">
        <w:r>
          <w:rPr>
            <w:color w:val="5B7F98"/>
            <w:u w:val="single"/>
            <w:rFonts w:ascii="Arial" w:hAnsi="Arial"/>
          </w:rPr>
          <w:t>`DECISIONS.md`</w:t>
        </w:r>
      </w:hyperlink>
      <w:r>
        <w:rPr>
          <w:rFonts w:ascii="Arial" w:hAnsi="Arial" w:eastAsia="Arial"/>
        </w:rPr>
        <w:t xml:space="preserve"> en de selectie- en nulregels in </w:t>
      </w:r>
      <w:hyperlink r:id="rId13">
        <w:r>
          <w:rPr>
            <w:color w:val="5B7F98"/>
            <w:u w:val="single"/>
            <w:rFonts w:ascii="Arial" w:hAnsi="Arial"/>
          </w:rPr>
          <w:t>`R/meijendel_cache_contract.R`</w:t>
        </w:r>
      </w:hyperlink>
      <w:r>
        <w:rPr>
          <w:rFonts w:ascii="Arial" w:hAnsi="Arial" w:eastAsia="Arial"/>
        </w:rPr>
        <w:t>.</w:t>
      </w:r>
    </w:p>
    <w:p>
      <w:pPr>
        <w:pStyle w:val="Heading1"/>
      </w:pPr>
      <w:r>
        <w:rPr>
          <w:rFonts w:ascii="Arial" w:hAnsi="Arial" w:eastAsia="Arial"/>
        </w:rPr>
        <w:t>Uitkomsten die worden onderzocht</w:t>
      </w:r>
    </w:p>
    <w:p>
      <w:pPr>
        <w:pStyle w:val="Heading2"/>
      </w:pPr>
      <w:r>
        <w:rPr>
          <w:rFonts w:ascii="Arial" w:hAnsi="Arial" w:eastAsia="Arial"/>
        </w:rPr>
        <w:t>Soorten</w:t>
      </w:r>
    </w:p>
    <w:p>
      <w:pPr>
        <w:keepLines w:val="0"/>
      </w:pPr>
      <w:r>
        <w:rPr>
          <w:rFonts w:ascii="Arial" w:hAnsi="Arial" w:eastAsia="Arial"/>
        </w:rPr>
        <w:t>De primaire respons is het territoriumaantal per soort, plot en jaar. Soorten delen in een hiërarchisch model informatie, maar mogen verschillend reageren. Soortspecifieke uitkomsten worden alleen afzonderlijk gepubliceerd wanneer de gegevens daarvoor voldoende zijn.</w:t>
      </w:r>
    </w:p>
    <w:p>
      <w:pPr>
        <w:pStyle w:val="Heading2"/>
      </w:pPr>
      <w:r>
        <w:rPr>
          <w:rFonts w:ascii="Arial" w:hAnsi="Arial" w:eastAsia="Arial"/>
        </w:rPr>
        <w:t>Gehele gemeenschap</w:t>
      </w:r>
    </w:p>
    <w:p>
      <w:pPr>
        <w:keepLines w:val="0"/>
      </w:pPr>
      <w:r>
        <w:rPr>
          <w:rFonts w:ascii="Arial" w:hAnsi="Arial" w:eastAsia="Arial"/>
        </w:rPr>
        <w:t>We onderzoeken ten minste soortensamenstelling, soortenrijkdom en totale territoriumdichtheid. Een multivariate gemeenschapsuitkomst en een opgetelde dichtheid beantwoorden verschillende vragen en blijven daarom gescheiden.</w:t>
      </w:r>
    </w:p>
    <w:p>
      <w:pPr>
        <w:pStyle w:val="Heading2"/>
      </w:pPr>
      <w:r>
        <w:rPr>
          <w:rFonts w:ascii="Arial" w:hAnsi="Arial" w:eastAsia="Arial"/>
        </w:rPr>
        <w:t>Functionele groepen</w:t>
      </w:r>
    </w:p>
    <w:p>
      <w:pPr>
        <w:keepLines w:val="0"/>
      </w:pPr>
      <w:r>
        <w:rPr>
          <w:rFonts w:ascii="Arial" w:hAnsi="Arial" w:eastAsia="Arial"/>
        </w:rPr>
        <w:t>De levende database bevat zes goedgekeurde functionele groepen. Binnen de 156 positief vastgestelde soorten uit de standaardscope zijn bij aanvang gekoppeld:</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Groep</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Primair</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Secundair</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Geselecteerd</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Gewogen omvang</w:t>
            </w:r>
          </w:p>
        </w:tc>
      </w:tr>
      <w:tr>
        <w:trPr>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Bodemfoeragerende insecteneters</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35</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40</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75</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55,0</w:t>
            </w:r>
          </w:p>
        </w:tc>
      </w:tr>
      <w:tr>
        <w:trPr>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Grondbroeders</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62</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7</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69</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65,5</w:t>
            </w:r>
          </w:p>
        </w:tc>
      </w:tr>
      <w:tr>
        <w:trPr>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Holenbroeders</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38</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39</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38,5</w:t>
            </w:r>
          </w:p>
        </w:tc>
      </w:tr>
      <w:tr>
        <w:trPr>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Langeafstandstrekkers</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42</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46</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44,0</w:t>
            </w:r>
          </w:p>
        </w:tc>
      </w:tr>
      <w:tr>
        <w:trPr>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Luchtfoerageerders</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8</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7</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15</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11,5</w:t>
            </w:r>
          </w:p>
        </w:tc>
      </w:tr>
      <w:tr>
        <w:trPr>
          <w:cantSplit/>
        </w:trPr>
        <w:tc>
          <w:tcPr>
            <w:tcW w:type="dxa" w:w="267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Zaadeters</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28</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33</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61</w:t>
            </w:r>
          </w:p>
        </w:tc>
        <w:tc>
          <w:tcPr>
            <w:tcW w:type="dxa" w:w="18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44,5</w:t>
            </w:r>
          </w:p>
        </w:tc>
      </w:tr>
    </w:tbl>
    <w:p>
      <w:pPr>
        <w:spacing w:after="20"/>
      </w:pPr>
    </w:p>
    <w:p>
      <w:pPr>
        <w:keepLines w:val="0"/>
      </w:pPr>
      <w:r>
        <w:rPr>
          <w:rFonts w:ascii="Arial" w:hAnsi="Arial" w:eastAsia="Arial"/>
        </w:rPr>
        <w:t>We rapporteren een strikte variant met primaire leden en een inclusieve of gewogen variant met secundaire leden. Vooral de kleinere groep luchtfoerageerders vraagt een gevoeligheidsanalyse.</w:t>
      </w:r>
    </w:p>
    <w:p>
      <w:pPr>
        <w:pStyle w:val="Heading2"/>
      </w:pPr>
      <w:r>
        <w:rPr>
          <w:rFonts w:ascii="Arial" w:hAnsi="Arial" w:eastAsia="Arial"/>
        </w:rPr>
        <w:t>Habitat- en ecologische groepen</w:t>
      </w:r>
    </w:p>
    <w:p>
      <w:pPr>
        <w:keepLines w:val="0"/>
      </w:pPr>
      <w:r>
        <w:rPr>
          <w:rFonts w:ascii="Arial" w:hAnsi="Arial" w:eastAsia="Arial"/>
        </w:rPr>
        <w:t>De database bevat 51 deels geneste EVG-landschapsgroepen. De hoofdanalyse begint met acht brede groepen: water-, riet-, pionier-, open-heide-, weide-, struweel-, bosrand- en bosvogels. Kleinere groepen worden alleen vooraf en op ecologische gronden gekozen. We zoeken dus niet achteraf tussen 51 uitkomsten naar toevallige significantie.</w:t>
      </w:r>
    </w:p>
    <w:p>
      <w:pPr>
        <w:keepLines w:val="0"/>
      </w:pPr>
      <w:r>
        <w:rPr>
          <w:rFonts w:ascii="Arial" w:hAnsi="Arial" w:eastAsia="Arial"/>
        </w:rPr>
        <w:t>Daarnaast zijn 72 van de 156 positief vastgestelde soorten aan acht Natura 2000-habitattypen gekoppeld. Hiervoor worden twee vooraf vastgelegde varianten gebruikt: alleen sterke bindingen en sterke plus matige bindingen.</w:t>
      </w:r>
    </w:p>
    <w:p>
      <w:pPr>
        <w:keepLines w:val="0"/>
      </w:pPr>
      <w:r>
        <w:rPr>
          <w:rFonts w:ascii="Arial" w:hAnsi="Arial" w:eastAsia="Arial"/>
        </w:rPr>
        <w:t>Soorten kunnen in verschillende groepen voorkomen. Groepsuitkomsten zijn dus niet onafhankelijk en worden niet behandeld als 51 losse, onderling vergelijkbare toetsen.</w:t>
      </w:r>
    </w:p>
    <w:p>
      <w:pPr>
        <w:pStyle w:val="Heading2"/>
      </w:pPr>
      <w:r>
        <w:rPr>
          <w:rFonts w:ascii="Arial" w:hAnsi="Arial" w:eastAsia="Arial"/>
        </w:rPr>
        <w:t>Continue functionele kenmerken</w:t>
      </w:r>
    </w:p>
    <w:p>
      <w:pPr>
        <w:keepLines w:val="0"/>
      </w:pPr>
      <w:r>
        <w:rPr>
          <w:rFonts w:ascii="Arial" w:hAnsi="Arial" w:eastAsia="Arial"/>
        </w:rPr>
        <w:t>De database bevat 23 goedgekeurde vogelkenmerken. Zestien daarvan zijn bij aanvang voor alle 156 positief vastgestelde soorten gevuld. Naast vaste groepen berekenen we daarom per plotjaar onder meer het gewogen aandeel grondbroeders, holenbroeders, insecteneters, zaadeters en langeafstandstrekkers en, waar verantwoord, de gemiddelde nesthoogte en wijze van foerageren.</w:t>
      </w:r>
    </w:p>
    <w:p>
      <w:pPr>
        <w:keepLines w:val="0"/>
      </w:pPr>
      <w:r>
        <w:rPr>
          <w:rFonts w:ascii="Arial" w:hAnsi="Arial" w:eastAsia="Arial"/>
        </w:rPr>
        <w:t>Deze continue kenmerken benutten verschillen tussen soorten zonder voor ieder kenmerk een harde groepsgrens te moeten kiezen.</w:t>
      </w:r>
    </w:p>
    <w:p>
      <w:pPr>
        <w:pStyle w:val="Heading1"/>
      </w:pPr>
      <w:r>
        <w:rPr>
          <w:rFonts w:ascii="Arial" w:hAnsi="Arial" w:eastAsia="Arial"/>
        </w:rPr>
        <w:t>Modelopbouw</w:t>
      </w:r>
    </w:p>
    <w:p>
      <w:pPr>
        <w:pStyle w:val="Heading2"/>
      </w:pPr>
      <w:r>
        <w:rPr>
          <w:rFonts w:ascii="Arial" w:hAnsi="Arial" w:eastAsia="Arial"/>
        </w:rPr>
        <w:t>1. Reproduceerbare analysematrix</w:t>
      </w:r>
    </w:p>
    <w:p>
      <w:pPr>
        <w:keepLines w:val="0"/>
      </w:pPr>
      <w:r>
        <w:rPr>
          <w:rFonts w:ascii="Arial" w:hAnsi="Arial" w:eastAsia="Arial"/>
        </w:rPr>
        <w:t xml:space="preserve">De soort–plot–jaar-matrix wordt rechtstreeks uit de levende database gebouwd. De analyse neemt de centrale Natura 2000-scope, bronstatus, nulregels en formele afkeur over. Iedere waarde behoudt bron en nulstatus. Een groepswaarde wordt alleen berekend wanneer voor alle samenstellende soorten een geldige analysewaarde beschikbaar is; een gedeeltelijke som blijft </w:t>
      </w:r>
      <w:r>
        <w:rPr>
          <w:rFonts w:ascii="Courier New" w:hAnsi="Courier New" w:eastAsia="Courier New"/>
          <w:sz w:val="19"/>
        </w:rPr>
        <w:t>NA</w:t>
      </w:r>
      <w:r>
        <w:rPr>
          <w:rFonts w:ascii="Arial" w:hAnsi="Arial" w:eastAsia="Arial"/>
        </w:rPr>
        <w:t>.</w:t>
      </w:r>
    </w:p>
    <w:p>
      <w:pPr>
        <w:keepLines w:val="0"/>
      </w:pPr>
      <w:r>
        <w:rPr>
          <w:rFonts w:ascii="Arial" w:hAnsi="Arial" w:eastAsia="Arial"/>
        </w:rPr>
        <w:t xml:space="preserve">Deze stap is op 9 oktober 2026 uitgevoerd. De standaardmatrix bevat 328.692 soort–plot–jaarcellen: 156 soorten maal 2.107 werkelijk in </w:t>
      </w:r>
      <w:r>
        <w:rPr>
          <w:rFonts w:ascii="Courier New" w:hAnsi="Courier New" w:eastAsia="Courier New"/>
          <w:sz w:val="19"/>
        </w:rPr>
        <w:t>territoria</w:t>
      </w:r>
      <w:r>
        <w:rPr>
          <w:rFonts w:ascii="Arial" w:hAnsi="Arial" w:eastAsia="Arial"/>
        </w:rPr>
        <w:t xml:space="preserve"> aanwezige plotjaren in 52 Natura 2000-plots, over 1958–2025. De 123 plotjaarcombinaties die alleen in </w:t>
      </w:r>
      <w:r>
        <w:rPr>
          <w:rFonts w:ascii="Courier New" w:hAnsi="Courier New" w:eastAsia="Courier New"/>
          <w:sz w:val="19"/>
        </w:rPr>
        <w:t>plot_jaar_teller</w:t>
      </w:r>
      <w:r>
        <w:rPr>
          <w:rFonts w:ascii="Arial" w:hAnsi="Arial" w:eastAsia="Arial"/>
        </w:rPr>
        <w:t xml:space="preserve"> staan, creëren nadrukkelijk geen analysejaar.</w:t>
      </w:r>
    </w:p>
    <w:p>
      <w:pPr>
        <w:keepLines w:val="0"/>
      </w:pPr>
      <w:r>
        <w:rPr>
          <w:rFonts w:ascii="Arial" w:hAnsi="Arial" w:eastAsia="Arial"/>
        </w:rPr>
        <w:t xml:space="preserve">Van de 328.692 cellen hebben 68.504 een positief territoriumaantal. Er zijn 142.802 geldige nullen: 76.686 letterlijk door de bron geleverde nullen en 66.116 volgens de vastgelegde jaarverslagregel afgeleide nullen. Voor 117.120 cellen ontbreekt een soortregel en 266 cellen behouden de status </w:t>
      </w:r>
      <w:r>
        <w:rPr>
          <w:rFonts w:ascii="Courier New" w:hAnsi="Courier New" w:eastAsia="Courier New"/>
          <w:sz w:val="19"/>
        </w:rPr>
        <w:t>formeel_afgekeurd</w:t>
      </w:r>
      <w:r>
        <w:rPr>
          <w:rFonts w:ascii="Arial" w:hAnsi="Arial" w:eastAsia="Arial"/>
        </w:rPr>
        <w:t>; deze 117.386 cellen krijgen geen modelwaarde. De vijf M35-plotjaren met een afgekeurde SOVON-status bevatten daarnaast zelfstandige geldige jaarverslag- of meeuwenliteratuurwaarden. Die blijven volgens de brongebonden regel bruikbaar en herkenbaar.</w:t>
      </w:r>
    </w:p>
    <w:p>
      <w:pPr>
        <w:keepLines w:val="0"/>
      </w:pPr>
      <w:r>
        <w:rPr>
          <w:rFonts w:ascii="Arial" w:hAnsi="Arial" w:eastAsia="Arial"/>
        </w:rPr>
        <w:t>Voor 2.007 van de 2.107 territorium-plotjaren is minstens één teller geregistreerd; voor 100 niet. M62/2016, de afzonderlijke roofvogeltelling, is voor de algemene vogelmatrix als bronwaarde behouden. Bij de volgende stap, de analyse van teller en tellerervaring, wordt deze combinatie overeenkomstig het bestaande besluit uitgesloten. Dan resteren 99 plotjaren zonder tellerregistratie.</w:t>
      </w:r>
    </w:p>
    <w:p>
      <w:pPr>
        <w:keepLines w:val="0"/>
      </w:pPr>
      <w:r>
        <w:rPr>
          <w:rFonts w:ascii="Arial" w:hAnsi="Arial" w:eastAsia="Arial"/>
        </w:rPr>
        <w:t xml:space="preserve">De volledige matrix staat lokaal, buiten Git, in de uitvoermap </w:t>
      </w:r>
      <w:r>
        <w:rPr>
          <w:rFonts w:ascii="Courier New" w:hAnsi="Courier New" w:eastAsia="Courier New"/>
          <w:sz w:val="19"/>
        </w:rPr>
        <w:t>resultaten/runs/</w:t>
      </w:r>
      <w:r>
        <w:rPr>
          <w:rFonts w:ascii="Arial" w:hAnsi="Arial" w:eastAsia="Arial"/>
        </w:rPr>
        <w:t xml:space="preserve">. De compacte actuele samenvatting en het controlemanifest staan in </w:t>
      </w:r>
      <w:r>
        <w:rPr>
          <w:rFonts w:ascii="Courier New" w:hAnsi="Courier New" w:eastAsia="Courier New"/>
          <w:sz w:val="19"/>
        </w:rPr>
        <w:t>resultaten/analysematrix_laatste_samenvatting.csv</w:t>
      </w:r>
      <w:r>
        <w:rPr>
          <w:rFonts w:ascii="Arial" w:hAnsi="Arial" w:eastAsia="Arial"/>
        </w:rPr>
        <w:t xml:space="preserve"> en </w:t>
      </w:r>
      <w:r>
        <w:rPr>
          <w:rFonts w:ascii="Courier New" w:hAnsi="Courier New" w:eastAsia="Courier New"/>
          <w:sz w:val="19"/>
        </w:rPr>
        <w:t>resultaten/analysematrix_laatste_manifest.json</w:t>
      </w:r>
      <w:r>
        <w:rPr>
          <w:rFonts w:ascii="Arial" w:hAnsi="Arial" w:eastAsia="Arial"/>
        </w:rPr>
        <w:t>.</w:t>
      </w:r>
    </w:p>
    <w:p>
      <w:pPr>
        <w:pStyle w:val="Heading2"/>
      </w:pPr>
      <w:r>
        <w:rPr>
          <w:rFonts w:ascii="Arial" w:hAnsi="Arial" w:eastAsia="Arial"/>
        </w:rPr>
        <w:t>2. Waarnemingsmodel</w:t>
      </w:r>
    </w:p>
    <w:p>
      <w:pPr>
        <w:keepLines w:val="0"/>
      </w:pPr>
      <w:r>
        <w:rPr>
          <w:rFonts w:ascii="Arial" w:hAnsi="Arial" w:eastAsia="Arial"/>
        </w:rPr>
        <w:t>De formele uitvoering gebruikt 203.628 geldige soort–plot–jaarrijen uit 2.007 plotjaren met bekend teller/tellerteam, voor 156 soorten en de periode 1958–2025. M62/2016 en 99 plotjaren zonder tellerregistratie zijn niet in deze primaire tellervergelijking opgenomen. Binnen iedere vergelijking zijn exact dezelfde responsrijen gebruikt. Alle achttien gezamenlijke modellen slaagden zonder convergentiewaarschuwing.</w:t>
      </w:r>
    </w:p>
    <w:p>
      <w:pPr>
        <w:keepLines w:val="0"/>
      </w:pPr>
      <w:r>
        <w:rPr>
          <w:rFonts w:ascii="Arial" w:hAnsi="Arial" w:eastAsia="Arial"/>
        </w:rPr>
        <w:t>Het model onderscheidt drie zaken. Eerst de vogelontwikkeling die samenhangt met soort, tijd en plot. Vervolgens de blijvende afwijking van teller/tellerteam ten opzichte van het gemiddelde. Ten slotte twee vormen van ervaring: eerdere geregistreerde teljaren in dezelfde plot en eerdere geregistreerde teljaren in andere Meijendelplots. Beide ervaringsvariabelen zijn doorlopend; er bestaat dus geen kunstmatige grens tussen “onervaren” en “ervaren”.</w:t>
      </w:r>
    </w:p>
    <w:p>
      <w:pPr>
        <w:keepLines w:val="0"/>
      </w:pPr>
      <w:r>
        <w:rPr>
          <w:rFonts w:ascii="Arial" w:hAnsi="Arial" w:eastAsia="Arial"/>
        </w:rPr>
        <w:t>De geschatte standaardafwijking die samenhangt met teller/tellerteam bedraagt op logschaal 0,382, ofwel een factor 1,47. Als het model voor een gemiddeld teller/tellerteam tien territoria verwacht, ligt één standaardafwijking naar beneden op ongeveer 6,8 en één standaardafwijking naar boven op ongeveer 14,7. Dit maakt de omvang van de spreiding concreet. Het is geen ranglijst van tellers en ook geen bewijs dat een laag uitkomend teller/tellerteam 32% van de vogels heeft gemist of een hoog uitkomend teller/tellerteam 47% te veel heeft geteld. Teller/tellerteam kan tevens verschillen in inzet, toedeling, omstandigheden en niet-gemeten kenmerken.</w:t>
      </w:r>
    </w:p>
    <w:p>
      <w:pPr>
        <w:keepLines w:val="0"/>
      </w:pPr>
      <w:r>
        <w:rPr>
          <w:rFonts w:ascii="Arial" w:hAnsi="Arial" w:eastAsia="Arial"/>
        </w:rPr>
        <w:t>Voor ervaring in dezelfde plot was het gemiddelde effect 0,008 per gestandaardiseerde eenheid, met een standaardfout van 0,018. Dat ligt zo dicht bij nul dat de lange reeks geen algemeen leereffect binnen dezelfde plot aantoont. Voor ervaring elders was het effect 0,066 met een standaardfout van 0,017. Omgerekend waren de verwachte aantallen na één, drie en vijf eerder geregistreerde teljaren elders gemiddeld 4,2%, 8,6% en 11,2% hoger dan bij nul eerdere jaren. De analyse met uitsluitend 1.804 één-teller-plotjaren gaf hetzelfde hoofdpatroon. Het resultaat wordt dus niet gedragen door de manier waarop ervaring binnen tellerteams is samengevat.</w:t>
      </w:r>
    </w:p>
    <w:p>
      <w:pPr>
        <w:keepLines w:val="0"/>
      </w:pPr>
      <w:r>
        <w:rPr>
          <w:rFonts w:ascii="Arial" w:hAnsi="Arial" w:eastAsia="Arial"/>
        </w:rPr>
        <w:t>De afzonderlijke analyse van 120.731 soort–plot–jaarrijen met bekende bezoekinspanning over 1984–2025 liet het positieve verband met ervaring elders eveneens zien. In deze kortere periode werd ook voor ervaring binnen dezelfde plot een positief verband geschat. Omdat tegelijk periode, beschikbare soorten en gegevenssamenstelling veranderen, is dit geen zelfstandig bewijs voor een leereffect.</w:t>
      </w:r>
    </w:p>
    <w:p>
      <w:pPr>
        <w:keepLines w:val="0"/>
      </w:pPr>
      <w:r>
        <w:rPr>
          <w:rFonts w:ascii="Arial" w:hAnsi="Arial" w:eastAsia="Arial"/>
        </w:rPr>
        <w:t>Voor alle 121 voldoende gedekte soorten leverde het hoofdmodel een bruikbare uitkomst. Door teller/tellerteam en ervaring toe te voegen veranderde de jaarlijkse trend mediaan met −0,033 procentpunt; de mediane absolute verschuiving was 0,545 procentpunt. Bij 67 soorten bedroeg de absolute verandering meer dan 0,5 procentpunt en bij 31 meer dan één procentpunt per jaar. De mediane breedte van het onzekerheidsinterval nam met 11% toe. Tellerinvloed is dus gemiddeld geen grote verschuiving van de trend, maar kan voor afzonderlijke soorten wel inhoudelijk belangrijk zijn. De bredere intervallen geven bovendien eerlijker weer welk deel van de variatie niet zonder meer aan de vogelstand kan worden toegeschreven.</w:t>
      </w:r>
    </w:p>
    <w:p>
      <w:pPr>
        <w:keepLines w:val="0"/>
      </w:pPr>
      <w:r>
        <w:rPr>
          <w:rFonts w:ascii="Arial" w:hAnsi="Arial" w:eastAsia="Arial"/>
        </w:rPr>
        <w:t>De GEE was een tweede berekeningswijze, niet het beslissende model. Zij gaf voor 105 van de 121 soorten een technisch geldig resultaat. Bij acht soorten werd de vaste tijdslimiet bereikt en bij acht leverde de methode geen wiskundig betrouwbare oplossing. Dat is geen oordeel over die soorten: hun hiërarchische hoofdmodel slaagde wel. Bij de 105 geldige GEE-uitkomsten wees het ervaringseffect in dezelfde plot voor 78,1% en elders voor 80,0% in dezelfde richting als in het hoofdmodel. Het algemene patroon is daarmee redelijk robuust, maar soortspecifieke ervaringseffecten zijn niet overal methode-onafhankelijk.</w:t>
      </w:r>
    </w:p>
    <w:p>
      <w:pPr>
        <w:pStyle w:val="Heading2"/>
      </w:pPr>
      <w:r>
        <w:rPr>
          <w:rFonts w:ascii="Arial" w:hAnsi="Arial" w:eastAsia="Arial"/>
        </w:rPr>
        <w:t>Correctie in de volgende modellen</w:t>
      </w:r>
    </w:p>
    <w:p>
      <w:pPr>
        <w:keepLines w:val="0"/>
      </w:pPr>
      <w:r>
        <w:rPr>
          <w:rFonts w:ascii="Arial" w:hAnsi="Arial" w:eastAsia="Arial"/>
        </w:rPr>
        <w:t xml:space="preserve">De territoriumaantallen zelf worden niet aangepast. Ieder volgend primair ecologisch model bevat een random intercept voor teller/tellerteam en de twee variabelen </w:t>
      </w:r>
      <w:r>
        <w:rPr>
          <w:rFonts w:ascii="Courier New" w:hAnsi="Courier New" w:eastAsia="Courier New"/>
          <w:sz w:val="19"/>
        </w:rPr>
        <w:t>log(1 + eerdere geregistreerde jaren in dezelfde plot)</w:t>
      </w:r>
      <w:r>
        <w:rPr>
          <w:rFonts w:ascii="Arial" w:hAnsi="Arial" w:eastAsia="Arial"/>
        </w:rPr>
        <w:t xml:space="preserve"> en </w:t>
      </w:r>
      <w:r>
        <w:rPr>
          <w:rFonts w:ascii="Courier New" w:hAnsi="Courier New" w:eastAsia="Courier New"/>
          <w:sz w:val="19"/>
        </w:rPr>
        <w:t>log(1 + eerdere geregistreerde jaren elders)</w:t>
      </w:r>
      <w:r>
        <w:rPr>
          <w:rFonts w:ascii="Arial" w:hAnsi="Arial" w:eastAsia="Arial"/>
        </w:rPr>
        <w:t>. Soorten mogen van het gemiddelde ervaringseffect afwijken. De effecten worden opnieuw geschat binnen de exacte plots, jaren en soorten van dat model; de factor 1,47 en de percentages 4,2%, 8,6% en 11,2% worden niet als vaste correctie opgelegd.</w:t>
      </w:r>
    </w:p>
    <w:p>
      <w:pPr>
        <w:keepLines w:val="0"/>
      </w:pPr>
      <w:r>
        <w:rPr>
          <w:rFonts w:ascii="Arial" w:hAnsi="Arial" w:eastAsia="Arial"/>
        </w:rPr>
        <w:t>Plotjaren zonder bekende teller kunnen geen teamcorrectie krijgen. Zij blijven daarom buiten de primaire, voor teller gecorrigeerde analyse en worden alleen in een afzonderlijke gevoeligheidsanalyse gebruikt. Een vergelijking met hetzelfde model zonder teller blijft zinvol om zichtbaar te maken hoeveel de ecologische relatie en haar onzekerheid door deze correctie veranderen. Zij is niet bedoeld om teller achteraf alsnog uit het model te selecteren.</w:t>
      </w:r>
    </w:p>
    <w:p>
      <w:pPr>
        <w:pStyle w:val="Heading2"/>
      </w:pPr>
      <w:r>
        <w:rPr>
          <w:rFonts w:ascii="Arial" w:hAnsi="Arial" w:eastAsia="Arial"/>
        </w:rPr>
        <w:t>3. Vegetatiemodel</w:t>
      </w:r>
    </w:p>
    <w:p>
      <w:pPr>
        <w:keepLines w:val="0"/>
      </w:pPr>
      <w:r>
        <w:rPr>
          <w:rFonts w:ascii="Arial" w:hAnsi="Arial" w:eastAsia="Arial"/>
        </w:rPr>
        <w:t>PQ-kenmerken worden gesplitst in:</w:t>
      </w:r>
    </w:p>
    <w:p>
      <w:pPr>
        <w:pStyle w:val="ListBullet"/>
        <w:keepLines/>
      </w:pPr>
      <w:r>
        <w:rPr>
          <w:rFonts w:ascii="Arial" w:hAnsi="Arial" w:eastAsia="Arial"/>
        </w:rPr>
        <w:t>het gemiddelde verschil tussen plots;</w:t>
      </w:r>
    </w:p>
    <w:p>
      <w:pPr>
        <w:pStyle w:val="ListBullet"/>
        <w:keepLines/>
      </w:pPr>
      <w:r>
        <w:rPr>
          <w:rFonts w:ascii="Arial" w:hAnsi="Arial" w:eastAsia="Arial"/>
        </w:rPr>
        <w:t>de afwijking in een bepaald jaar binnen dezelfde plot.</w:t>
      </w:r>
    </w:p>
    <w:p>
      <w:pPr>
        <w:keepLines w:val="0"/>
      </w:pPr>
      <w:r>
        <w:rPr>
          <w:rFonts w:ascii="Arial" w:hAnsi="Arial" w:eastAsia="Arial"/>
        </w:rPr>
        <w:t>Zo blijft het verschil zichtbaar tussen “bosrijke plots hebben andere vogels” en “de vogels veranderen nadat de vegetatie binnen dezelfde plot verandert”. Vertragingen worden vooraf beperkt tot hetzelfde jaar, één jaar en, indien ecologisch verdedigbaar, twee of drie jaar.</w:t>
      </w:r>
    </w:p>
    <w:p>
      <w:pPr>
        <w:keepLines w:val="0"/>
      </w:pPr>
      <w:r>
        <w:rPr>
          <w:rFonts w:ascii="Arial" w:hAnsi="Arial" w:eastAsia="Arial"/>
        </w:rPr>
        <w:t xml:space="preserve">Deze stap is uitgevoerd op 37.140 geldige soort–plot–jaarrijen uit 406 vogelplotjaren in 35 plots, voor 154 soorten en 1989–2025. Muskuseend heeft in deze overlap geen geldige modelrij. Aalscholver is alleen uit het PQ-model verwijderd, omdat de nestelplaats van deze kolonievogel niet door de gebruikte PQ-maten wordt gemeten. De technische modelterm </w:t>
      </w:r>
      <w:r>
        <w:rPr>
          <w:rFonts w:ascii="Courier New" w:hAnsi="Courier New" w:eastAsia="Courier New"/>
          <w:sz w:val="19"/>
        </w:rPr>
        <w:t>tellerteam_factor</w:t>
      </w:r>
      <w:r>
        <w:rPr>
          <w:rFonts w:ascii="Arial" w:hAnsi="Arial" w:eastAsia="Arial"/>
        </w:rPr>
        <w:t xml:space="preserve"> kan zowel één teller als een tellerteam van twee of meer tellers aanduiden. Teller/tellerteam en beide ervaringsmaten zijn in ieder model opnieuw geschat. Bij vertraging één, twee en drie jaar bleven respectievelijk 390, 372 en 349 vogelplotjaren beschikbaar.</w:t>
      </w:r>
    </w:p>
    <w:p>
      <w:pPr>
        <w:keepLines w:val="0"/>
      </w:pPr>
      <w:r>
        <w:rPr>
          <w:rFonts w:ascii="Arial" w:hAnsi="Arial" w:eastAsia="Arial"/>
        </w:rPr>
        <w:t>De drie PQ-maten geven op de volledige gegevens een duidelijk gemiddeld verschil tussen plots. Bij één standaardafwijking hogere plantensoortenrijkdom, Shannon of totale bedekking is het verwachte territoriumaantal per soort gemiddeld een factor 0,80, 0,88 en 0,85 lager. Dat mag niet worden gelezen als “meer planten veroorzaken minder vogels”. De plots verschillen ook in habitat, ligging en andere niet volledig gemeten omstandigheden, en soorten reageren onderling verschillend.</w:t>
      </w:r>
    </w:p>
    <w:p>
      <w:pPr>
        <w:keepLines w:val="0"/>
      </w:pPr>
      <w:r>
        <w:rPr>
          <w:rFonts w:ascii="Arial" w:hAnsi="Arial" w:eastAsia="Arial"/>
        </w:rPr>
        <w:t>De voor de veranderingsvraag beslissende binnen-plotreacties liggen met factoren 0,99, 0,98 en 1,01 rond één en zijn niet duidelijk van geen gemiddeld effect te onderscheiden. Ook bij één tot drie jaar vertraging ontstaat geen consistent binnen-plotverband. Met deze drie brede PQ-maten is geen bestendige extra voorspellende waarde over zowel nieuwe plots als latere jaren aangetoond. Dit betekent niet dat de veranderingen in de PQ's te gering waren; dat is zonder een afzonderlijke poweranalyse niet vastgesteld. De maten kunnen ook ecologisch te grof zijn, tegengestelde soortreacties middelen of relevante structuurkenmerken niet meten.</w:t>
      </w:r>
    </w:p>
    <w:p>
      <w:pPr>
        <w:pStyle w:val="Heading2"/>
      </w:pPr>
      <w:r>
        <w:rPr>
          <w:rFonts w:ascii="Arial" w:hAnsi="Arial" w:eastAsia="Arial"/>
        </w:rPr>
        <w:t>Volledige PQ-samenstelling en IPI</w:t>
      </w:r>
    </w:p>
    <w:p>
      <w:pPr>
        <w:keepLines w:val="0"/>
      </w:pPr>
      <w:r>
        <w:rPr>
          <w:rFonts w:ascii="Arial" w:hAnsi="Arial" w:eastAsia="Arial"/>
        </w:rPr>
        <w:t>Deze vervolgstap gebruikt de 53.122 taxonregels uit 2.007 provinciale PQ-opnamen over 1981–2025. Daarvan zijn 1.314 opnamen, 501 plotjaren en 642 centrale taxa aan 35 actieve vogelplots gekoppeld. De gelijktijdige vogelvergelijking bevat 37.140 geldige soort–plot–jaarrijen, 406 vogelplotjaren, 35 plots en 154 soorten over 1989–2025. Dezelfde bron-, nul-, scope- en tellercorrecties zijn gebruikt als in het brede PQ-model; Aalscholver blijft alleen uit de vogel–vegetatiemodellen verwijderd.</w:t>
      </w:r>
    </w:p>
    <w:p>
      <w:pPr>
        <w:keepLines w:val="0"/>
      </w:pPr>
      <w:r>
        <w:rPr>
          <w:rFonts w:ascii="Arial" w:hAnsi="Arial" w:eastAsia="Arial"/>
        </w:rPr>
        <w:t>De Hellinger-getransformeerde taxonsamenstelling is samengevat in drie compositieassen. Zij verklaren respectievelijk 12,1%, 9,1% en 6,6%, samen 27,8%, van de variatie. De eerste as onderscheidt vooral houtige en ruigere vegetatie met onder meer zomereik, eenstijlige meidoorn en grote brandnetel van open droog duin met mossen, fijn schapengras en geel walstro. De tweede as onderscheidt vooral natte vegetatie met riet, watermunt, kruipwilg en zeggen van houtige vegetatie. Het teken van een compositieas is op zichzelf willekeurig; de taxa aan beide uiteinden geven haar inhoud.</w:t>
      </w:r>
    </w:p>
    <w:p>
      <w:pPr>
        <w:keepLines w:val="0"/>
      </w:pPr>
      <w:r>
        <w:rPr>
          <w:rFonts w:ascii="Arial" w:hAnsi="Arial" w:eastAsia="Arial"/>
        </w:rPr>
        <w:t>In het volledige model ligt geen van de drie gemiddelde veranderingen binnen dezelfde plot duidelijk van nul af. De verwachte verhoudingen per standaardafwijking zijn 0,987, 0,991 en 0,992. Toch verbetert de compositie de ruimtelijke logscore gemiddeld met 0,093 en is zij in vier van vijf achtergehouden plotblokken beter. Voor latere jaren is de logscore in beide tijdsblokken juist iets slechter. De volledige taxonsamenstelling beschrijft daarmee verschillen tussen plots beter, maar voorspelt met deze drie assen nog geen verandering door de tijd.</w:t>
      </w:r>
    </w:p>
    <w:p>
      <w:pPr>
        <w:keepLines w:val="0"/>
      </w:pPr>
      <w:r>
        <w:rPr>
          <w:rFonts w:ascii="Arial" w:hAnsi="Arial" w:eastAsia="Arial"/>
        </w:rPr>
        <w:t>IPI is samengebracht tot open duin, nat/water, struweel en bos. Dit zijn aandelen van de bemonsterde PQ-opnamen, geen oppervlakteaandelen van de vogelplot. Ook hier zijn de gemiddelde binnen-ploteffecten vrijwel nul. De ruimtelijke logscore verbetert gemiddeld met 0,036 en in drie van vier geldige plotblokken; één van vijf modellen had een niet-positief-definiete Hessiaan. Beide tijdsblokken worden iets slechter. IPI levert dus een bescheiden ruimtelijke habitatbeschrijving, geen aangetoonde temporele voorspelling.</w:t>
      </w:r>
    </w:p>
    <w:p>
      <w:pPr>
        <w:keepLines w:val="0"/>
      </w:pPr>
      <w:r>
        <w:rPr>
          <w:rFonts w:ascii="Arial" w:hAnsi="Arial" w:eastAsia="Arial"/>
        </w:rPr>
        <w:t>De vertragingen van één tot en met drie jaar zijn alleen qua dekking vastgelegd: 390, 372 en 349 vogelplotjaren. Omdat het gelijktijdige model geen tijdswinst oplevert, zijn daarvoor niet alsnog 42 kostbare lag-validatiemodellen geschat.</w:t>
      </w:r>
    </w:p>
    <w:p>
      <w:pPr>
        <w:pStyle w:val="Heading2"/>
      </w:pPr>
      <w:r>
        <w:rPr>
          <w:rFonts w:ascii="Arial" w:hAnsi="Arial" w:eastAsia="Arial"/>
        </w:rPr>
        <w:t>Onafhankelijke landbedekking 2001 en 2022</w:t>
      </w:r>
    </w:p>
    <w:p>
      <w:pPr>
        <w:keepLines w:val="0"/>
      </w:pPr>
      <w:r>
        <w:rPr>
          <w:rFonts w:ascii="Arial" w:hAnsi="Arial" w:eastAsia="Arial"/>
        </w:rPr>
        <w:t>Online Resource 2 van Schmidt-Tauscher, Häger en Van der Hagen bevat zeven landbedekkingsklassen voor 25 BMP-plots en de jaren 2001 en 2022. De oppervlakten zijn omgerekend naar aandelen binnen het geclassificeerde deel. Bij M71 is in beide jaren 47,89 van de opgegeven 48,46 hectare geclassificeerd; de ontbrekende 0,57 hectare, 1,2%, blijft zichtbaar en is niet aan een klasse toegerekend. M17 heeft in de actuele vogelmatrix geen territoriumplotjaar. Daardoor gebruiken de groepsmodellen maximaal 24 plots. De vogeldata zijn zonder jaarlijkse interpolatie samengevat in de vensters 1997–2001 en 2018–2022.</w:t>
      </w:r>
    </w:p>
    <w:p>
      <w:pPr>
        <w:keepLines w:val="0"/>
      </w:pPr>
      <w:r>
        <w:rPr>
          <w:rFonts w:ascii="Arial" w:hAnsi="Arial" w:eastAsia="Arial"/>
        </w:rPr>
        <w:t>De volledige modellen slagen voor water-, riet- en struweelvogels. Het model met landbedekking is numeriek ongeldig voor pionier/open-duinvogels en boomgroepvogels; bij bosvogels is het basismodel ongeldig. Hun coëfficiënten kunnen daarom niet als geldige modelvergelijking worden gelezen. Van de vijftig geblokkeerde vergelijkingen voor compositie, IPI en landbedekking slagen er 31 en hebben er 19 een niet-positief-definiete Hessiaan of een andere expliciet vastgelegde convergentiewaarschuwing.</w:t>
      </w:r>
    </w:p>
    <w:p>
      <w:pPr>
        <w:keepLines w:val="0"/>
      </w:pPr>
      <w:r>
        <w:rPr>
          <w:rFonts w:ascii="Arial" w:hAnsi="Arial" w:eastAsia="Arial"/>
        </w:rPr>
        <w:t>Wateroppervlak levert het duidelijkste ruimtelijke landbedekkingssignaal: de logscore is in alle vijf plotblokken beter, hoewel MAE en RMSE slechts in drie blokken verbeteren. De binnen-plotreactie is niet duidelijk. Bij rietvogels zijn drie van vijf ruimtelijke blokken geldig; twee daarvan verbeteren. Het volledige model schat bij meer riet binnen dezelfde plot een verhouding van 0,884 per standaardafwijking. Dat onverwachte negatieve verband is met slechts twee kaartmomenten, gemengde voorspelscores en één geldig tijdsblok geen bewijs dat uitbreiding van riet rietvogels doet afnemen. Voor struweelvogels zijn vier van vijf ruimtelijke logscores iets beter, maar één duidelijk slechter blok maakt het gemiddelde negatief en het tijdsmodel is ongeldig. Voor open-duin-, boomgroep- en bosvogels is de numerieke dekking te instabiel voor een stevige uitspraak.</w:t>
      </w:r>
    </w:p>
    <w:p>
      <w:pPr>
        <w:keepLines w:val="0"/>
      </w:pPr>
      <w:r>
        <w:rPr>
          <w:rFonts w:ascii="Arial" w:hAnsi="Arial" w:eastAsia="Arial"/>
        </w:rPr>
        <w:t>De landbedekking bevestigt dus dat een ecologisch specifieke kaartlaag nuttige ruimtelijke informatie kan bevatten. Zij levert nog geen algemeen geldig model van vogelverandering. Twee momentopnamen meten bovendien geen verticale gelaagdheid, vegetatiehoogte, voedsel of nestgelegenheid.</w:t>
      </w:r>
    </w:p>
    <w:p>
      <w:pPr>
        <w:keepLines w:val="0"/>
      </w:pPr>
      <w:r>
        <w:rPr>
          <w:rFonts w:ascii="Arial" w:hAnsi="Arial" w:eastAsia="Arial"/>
        </w:rPr>
        <w:t>Op 19 oktober 2026 zijn ook de oorspronkelijke classificatierasters en de grenzen van de 25 bronplots ontvangen. De twee rasters bevatten 369.710 geldige pixels voor 2001 en 369.662 voor 2022. Alle pixels konden aan een van de zeven gepubliceerde klassen en een bronplot worden toegewezen. Over 350 plot–klasse–jaarvergelijkingen wijkt de opnieuw berekende oppervlakte gemiddeld 0,0032 hectare en maximaal 0,030 hectare af van de supplementtabel. De bron is daarmee ruimtelijk herleidbaar, niet alleen als oppervlaktetabel.</w:t>
      </w:r>
    </w:p>
    <w:p>
      <w:pPr>
        <w:keepLines w:val="0"/>
      </w:pPr>
      <w:r>
        <w:rPr>
          <w:rFonts w:ascii="Arial" w:hAnsi="Arial" w:eastAsia="Arial"/>
        </w:rPr>
        <w:t>Per plot en klasse zijn nu ook aantal en dichtheid van aaneengesloten vlakken, aandeel van het grootste vlak en randdichtheid berekend. Per plot zijn klassenrijkdom, Shannon-diversiteit en totale interne randdichtheid bepaald. Tussen 2001 en 2022 stijgt de mediane interne randdichtheid over de 25 plots met 49,0 meter per hectare en de mediane Shannon-diversiteit met 0,049; de mediane klassenrijkdom verandert niet. Dat zijn beschrijvende veranderingen in het kaartpatroon. Met twee meetmomenten bewijzen zij geen ecologische oorzaak en leveren zij nog geen tijdsvalidatie voor vogelverandering.</w:t>
      </w:r>
    </w:p>
    <w:p>
      <w:pPr>
        <w:pStyle w:val="Heading3"/>
      </w:pPr>
      <w:r>
        <w:t>Representativiteit van de PQ’s binnen de kaartplots</w:t>
      </w:r>
    </w:p>
    <w:p>
      <w:pPr/>
      <w:r>
        <w:t>Op 29 oktober 2026 is voor dezelfde 25 kaartplots formeel vergeleken welk aandeel van iedere landbedekkingsklasse aanwezig is en welk aandeel van de PQ’s daarin ligt. Per kaartjaar is van ieder PQ de dichtstbijzijnde opname binnen vijf jaar gebruikt. De werkelijke RD-coördinaat is rechtstreeks in het raster van 2001 of 2022 bemonsterd. Voor 2001 zijn 84 PQ’s geselecteerd, waarvan 82 op een bruikbare rasterklasse liggen; voor 2022 zijn dit 102 en 100. Het samengestelde historische plot M17 is via de bestaande genormaliseerde koppeling als plot_id 999995 behandeld en niet verward met M17a (plot_id 3513).</w:t>
      </w:r>
    </w:p>
    <w:p>
      <w:pPr/>
      <w:r>
        <w:t>In 2001 bevatten 18 van de 25 kaartplots minstens één bruikbaar PQ; in 2022 zijn dit er 19. De vegetatieklassen waarin werkelijk een PQ ligt beslaan per plot mediaan 47,2% van het oppervlak in 2001 en 58,4% in 2022. Gemiddeld is dit respectievelijk 44,4% en 44,8%. Dit is klassedekking: zodra in een klasse één PQ ligt, telt het volledige oppervlakteaandeel van die klasse mee. De ruimtelijke spreiding en de representativiteit binnen die klasse zijn hiermee niet vastgesteld. Bij een verkennende minimumvoorwaarde van minstens drie PQ’s en minstens 70% klassedekking blijven slechts acht plots in 2001 en negen in 2022 over. Dit is geen nieuwe formele geldigheidsgrens, maar maakt zichtbaar hoeveel plots zelfs voor een beperkte gewogen proef voldoende steun hebben.</w:t>
      </w:r>
    </w:p>
    <w:p>
      <w:pPr/>
      <w:r>
        <w:t>Over alle 25 kaartplots samen is in 2001 vooral boomgroep onderbemonsterd: 9,8% van het oppervlak tegenover 1,2% van de bruikbare PQ’s. Water beslaat 6,3% tegenover 2,4% van de PQ’s en riet 2,6% tegenover 1,2%. Lage vegetatie en struweel zijn juist oververtegenwoordigd. In 2022 is de grootste afwijking water: 8,0% van het oppervlak tegenover 1,0% van de PQ’s. Struweel is dan 23,2% van het oppervlak en 28,0% van de PQ’s. Bos, boomgroepen en lage vegetatie liggen gebiedsbreed dichter bij hun oppervlakteaandeel, maar binnen afzonderlijke plots blijven de verschillen groot.</w:t>
      </w:r>
    </w:p>
    <w:p>
      <w:pPr/>
      <w:r>
        <w:t>De bestaande vijf Meijendel-deelgebieden zijn als tweede laag gebruikt. De 25 kaartplots omvatten zes plots in Buitenduin Noord, één in Buitenduin Zuid, elf in Kijfhoek en Bierlap, drie in Vallei Meijendel en vier in de Zuid-oosthoek. De uitkomsten per deelgebied beschrijven daarom alleen deze 25 kaartplots. Vooral Buitenduin Zuid, met uitsluitend M17b, kan niet als steekproef van het volledige zuidelijke buitenduin worden gelezen.</w:t>
      </w:r>
    </w:p>
    <w:p>
      <w:pPr/>
      <w:r>
        <w:t>Voor iedere bemonsterde klasse is een voorlopig oppervlaktegewicht berekend: het klasseaandeel gedeeld door het aantal PQ’s in die klasse, daarna binnen het bemonsterde deel van het plot genormaliseerd. Een aanwezige klasse zonder PQ blijft echter ongedekt. De gewichten kunnen dus scheve verdeling binnen het bemonsterde deel corrigeren, maar niet de ontbrekende 41–53% van een mediaan plot reconstrueren. Daarom is met deze gewichten nog geen nieuw vogelmodel geschat. Dat zou voor de volledige 25 of 52 plots een nauwkeurigheid suggereren die de PQ-dekking niet levert. De negatieve modelpoort en alle plot-, klasse- en deelgebiedsuitkomsten zijn wel reproduceerbaar vastgelegd.</w:t>
      </w:r>
    </w:p>
    <w:p>
      <w:pPr/>
      <w:r>
        <w:t>De verwachte Dunea-luchtfoto’s blijven voor het vervolg belangrijk. Zij kunnen de horizontale vegetatiestructuur gebiedsdekkend en op meer historische momenten beschrijven, ook in plots en klassen zonder PQ. Zij maken de PQ’s niet alsnog gebiedsdekkend voor plantensoortensamenstelling. De definitieve vogelmodelvergelijking wordt bovendien na de gevalideerde import van BMP 2026 opnieuw uitgevoerd, zodat 2026 niet via een afzonderlijke noodroute wordt toegevoegd.</w:t>
      </w:r>
    </w:p>
    <w:p>
      <w:pPr>
        <w:pStyle w:val="Heading2"/>
      </w:pPr>
      <w:r>
        <w:rPr>
          <w:rFonts w:ascii="Arial" w:hAnsi="Arial" w:eastAsia="Arial"/>
        </w:rPr>
        <w:t>Gerichte habitatmodellen met AHN en landbedekking</w:t>
      </w:r>
    </w:p>
    <w:p>
      <w:pPr>
        <w:keepLines w:val="0"/>
      </w:pPr>
      <w:r>
        <w:rPr>
          <w:rFonts w:ascii="Arial" w:hAnsi="Arial" w:eastAsia="Arial"/>
        </w:rPr>
        <w:t>De hoogteproef is op 12 oktober 2026 opnieuw opgebouwd met AHN2 uit 2008, AHN3 uit 2014, AHN4 uit 2020 en AHN5 uit 2022–2023. Voor 55 vogelplots zijn 220 plot–cyclusregels afgeleid uit de officiële DSM- en DTM-tegels. Alle vier cycli zijn eerst met dezelfde rekenregel gemiddeld naar exact hetzelfde tweemetergrid; pas daarna is DSM minus DTM berekend. Per plot zijn aandelen open terrein, lage vegetatie, struweel en bomen plus hoogteverdeling en randlengte bepaald. Hoogten boven 45 meter zijn als niet-vegetatieve uitbijter uitgesloten. Alle controles op vier cycli, 55 plots per cyclus, identieke resolutie, unieke plot–cycluscombinaties en optellende hoogteklassen slagen.</w:t>
      </w:r>
    </w:p>
    <w:p>
      <w:pPr>
        <w:keepLines w:val="0"/>
      </w:pPr>
      <w:r>
        <w:rPr>
          <w:rFonts w:ascii="Arial" w:hAnsi="Arial" w:eastAsia="Arial"/>
        </w:rPr>
        <w:t>De harmonisatie wijzigt de eerdere lezing van AHN3 en AHN4. Over 55 plots neemt open terrein tussen 2014 en 2020 gemiddeld met 2,94 procentpunt toe, niet met ongeveer elf procentpunt zoals uit de eerder gemengde services volgde. De gemiddelde boomfractie neemt tussen 2008 en 2014 met 5,27 procentpunt toe, tussen 2014 en 2020 met 0,55 en tussen 2020 en 2023 met 0,63 procentpunt. Dit zijn beschrijvende verschillen uit 220 afgeleide structuurregels, geen causale vegetatietrends.</w:t>
      </w:r>
    </w:p>
    <w:p>
      <w:pPr>
        <w:keepLines w:val="0"/>
      </w:pPr>
      <w:r>
        <w:rPr>
          <w:rFonts w:ascii="Arial" w:hAnsi="Arial" w:eastAsia="Arial"/>
        </w:rPr>
        <w:t>De gerichte modellen combineren deze AHN-structuur of de landbedekking van 2001 en 2022 met vooraf passende vogelgroepen. Zij corrigeren voor tijd, oppervlakte, bron, bezoekduur, wel of niet geregistreerde ongunstige bezoeksomstandigheden, teller/tellerteam, geregistreerde ervaring en vier weermaten: wintertemperatuur, vorstdagen, voorjaarstemperatuur en voorjaarsneerslag. Aalscholver blijft uitgesloten. Afhankelijk van groep en bron bevatten de tien modellen 1.741–10.340 soort–plot–jaarrijen, 15–36 soorten en 22–52 plots. De zes landbedekkingsmodellen gebruiken tien vogeljaren. De vier AHN-modellen gebruiken elf vogeljaren: 2009–2011, 2014–2016, 2021–2022 en 2023–2025. Het jaar 2023 wordt daarbij uitsluitend aan het recentere AHN5-moment gekoppeld.</w:t>
      </w:r>
    </w:p>
    <w:p>
      <w:pPr>
        <w:keepLines w:val="0"/>
      </w:pPr>
      <w:r>
        <w:rPr>
          <w:rFonts w:ascii="Arial" w:hAnsi="Arial" w:eastAsia="Arial"/>
        </w:rPr>
        <w:t>Van de twintig volledige basis- en habitatmodellen zijn twaalf numeriek geldig en acht ongeldig. Van de vijftig ruimtelijke validaties slagen 24 en vallen 26 numeriek uit. Die aantallen veranderen niet door AHN2 en AHN5, maar de vier AHN-tijdstoetsen zijn nu inhoudelijk uitvoerbaar: zij leren uit AHN2 en AHN3 en toetsen op de latere AHN4- en AHN5-vensters. Alleen het boomgroepmodel slaagt numeriek. Toevoeging van de boomfractie verbetert de gemiddelde logscore daar met 0,0024; het binnen-ploteffect is een factor 1,029 per standaardafwijking, met p = 0,439. De tijdswinst verdwijnt bovendien wanneer een ongunstige soort wordt weggelaten: de minimale logscoreverandering is −0,0174. De AHN-tijdstoetsen voor open-duin-, struweel- en bosvogels vallen door niet-positief-definiete Hessian-matrices uit. Dat is modeluitval, geen ecologische nul. Geen van de vier AHN-modellen en geen van de zes landbedekkingsmodellen voldoet aan de vooraf vastgelegde poort naar power.</w:t>
      </w:r>
    </w:p>
    <w:p>
      <w:pPr>
        <w:keepLines w:val="0"/>
      </w:pPr>
      <w:r>
        <w:rPr>
          <w:rFonts w:ascii="Arial" w:hAnsi="Arial" w:eastAsia="Arial"/>
        </w:rPr>
        <w:t>AHN1 uit 1997–1998 is apart als historische haalbaarheids- en gevoeligheidsanalyse gereconstrueerd. De tien oorspronkelijke grond- en niet-grondbestanden voor vijf kaartbladen bevatten binnen het analysevenster 12.318.672 punten, of gemiddeld 0,296 punt per vierkante meter. Op een raster van vijf meter bevat 68,17% van de 1.663.416 cellen een grondpunt en 71,36% enig punt. Twee verdedigbare DSM-afleidingen geven echter zeer verschillende uitkomsten voor dezelfde 55 plots: de geschatte open fractie verschilt gemiddeld 48,0 procentpunt, de boomfractie 14,0 procentpunt en de 95e hoogtepercentiel 4,81 meter. AHN1 is dus technisch beschikbaar, maar niet vergelijkbaar genoeg om als vijfde punt aan AHN2–AHN5 toe te voegen.</w:t>
      </w:r>
    </w:p>
    <w:p>
      <w:pPr>
        <w:keepLines w:val="0"/>
      </w:pPr>
      <w:r>
        <w:rPr>
          <w:rFonts w:ascii="Arial" w:hAnsi="Arial" w:eastAsia="Arial"/>
        </w:rPr>
        <w:t>De aansluitende luchtfotoproef is uitgevoerd met RGB en CIR voor 2016, 2020, 2022, 2023 en 2024. Van de 55 bronplots zijn M66 en M91 uitgesloten, zodat 53 Natura 2000-plots zijn onderzocht. De vier AHN-afgeleide hoogteklassen blijken niet voldoende tussen beeldjaren overdraagbaar. De ruwe kenmerken behalen macro-F1 0,469 voor 2020 naar 2023 en 0,420 in omgekeerde richting, beneden de vooraf gekozen grens van 0,60. Normalisatie en beeldtextuur verbeteren dit niet. De redelijke ruimtelijke rangorde van houtige bedekking in 24 plots in 2022 weegt daar niet tegenop: de gemiddelde absolute fout blijft circa 10 procentpunt. Water en kaal zand waren in deze proef zonder pixelreferenties niet afzonderlijk gevalideerd. De later ontvangen classificatierasters geven voor 2001 en 2022 wel de pixelindeling, maar de oorspronkelijke trainingspolygonen en validatiepunten ontbreken. Daardoor kan de overdraagbaarheid naar 2016, 2020, 2023 en 2024 nog steeds niet onafhankelijk worden getoetst. Daarom volgt geen jaarlijkse reeks. Luchtfoto's vervangen de hoogte-informatie niet en herstellen AHN1 niet; een vervolg vereist onafhankelijke referenties voor meer beeldjaren.</w:t>
      </w:r>
    </w:p>
    <w:p>
      <w:pPr>
        <w:pStyle w:val="Heading2"/>
      </w:pPr>
      <w:r>
        <w:rPr>
          <w:rFonts w:ascii="Arial" w:hAnsi="Arial" w:eastAsia="Arial"/>
        </w:rPr>
        <w:t>Aanvullende modellen met stikstof en CBS-landgebruik</w:t>
      </w:r>
    </w:p>
    <w:p>
      <w:pPr>
        <w:keepLines w:val="0"/>
      </w:pPr>
      <w:r>
        <w:rPr>
          <w:rFonts w:ascii="Arial" w:hAnsi="Arial" w:eastAsia="Arial"/>
        </w:rPr>
        <w:t>De laatste verklarende stap gebruikt dezelfde soortgerichte modelbasis als de eerdere analyses. Tijd, oppervlakte, bron, teller/tellerteam, geregistreerde ervaring, bezoekduur, registratie van ongunstige bezoeksomstandigheden en vier weermaten blijven in het model. Stikstof en landgebruik worden steeds gesplitst in een gemiddeld verschil tussen plots en een verandering binnen dezelfde plot. Daardoor wordt een blijvend verschil tussen plaatsen niet verward met de vraag of vogels reageren nadat de omgevingswaarde in een plot verandert.</w:t>
      </w:r>
    </w:p>
    <w:p>
      <w:pPr>
        <w:keepLines w:val="0"/>
      </w:pPr>
      <w:r>
        <w:rPr>
          <w:rFonts w:ascii="Arial" w:hAnsi="Arial" w:eastAsia="Arial"/>
        </w:rPr>
        <w:t>Het stikstofmodel bevat 60.127 soort–plot–jaarrijen uit 674 plotjaren in 51 plots, voor 155 soorten en 2005–2023. Zowel het basis- als het stikstofmodel is numeriek geldig. Tussen plots bedraagt de geschatte verhouding 1,157 per standaardafwijking hogere gemiddelde depositie; binnen dezelfde plot is zij 1,002, met p = 0,924. De beschikbare reeks laat dus een ruimtelijk verschil zien, maar geen gemiddelde vogelverandering die meeloopt met een verandering in stikstofdepositie. Van de vijf ruimtelijke validatieblokken slaagt er één; daar verslechtert de logscore met 0,0315. De tijdstoets leert uit 2005–2018 en toetst op 2019–2023, maar beide modellen vallen numeriek uit. Er is daarom geen bestendige voorspellende meerwaarde.</w:t>
      </w:r>
    </w:p>
    <w:p>
      <w:pPr>
        <w:keepLines w:val="0"/>
      </w:pPr>
      <w:r>
        <w:rPr>
          <w:rFonts w:ascii="Arial" w:hAnsi="Arial" w:eastAsia="Arial"/>
        </w:rPr>
        <w:t>Het CBS-landgebruik bevat in de bron 918 klasseregels voor 55 plots en vijf kaartmomenten, 1996–2022. De codes van 1996 zijn niet zonder aanvullende bronvertaling vergelijkbaar met de latere klassen en zijn niet stilzwijgend gehercodeerd. De modellen gebruiken daarom 2010, 2015, 2017 en 2022. Na de Natura 2000- en vogelselectie resteren 15.039 soort–plot–jaarrijen uit 168 plotjaren in 49 plots, voor 155 soorten. Getoetst zijn open natuurlijk terrein, bos, water, deze drie gezamenlijk en de combinatie met stikstof.</w:t>
      </w:r>
    </w:p>
    <w:p>
      <w:pPr>
        <w:keepLines w:val="0"/>
      </w:pPr>
      <w:r>
        <w:rPr>
          <w:rFonts w:ascii="Arial" w:hAnsi="Arial" w:eastAsia="Arial"/>
        </w:rPr>
        <w:t>Van de twaalf volledige basis- en omgevingsmodellen zijn vier numeriek geldig; alleen het stikstofpaar is aan beide zijden geldig. Van 36 validaties slagen er twaalf en vallen er 24 uit. Bos verbetert de logscore in vier van vier geldige ruimtelijke blokken en water in twee van twee. Dat is een aanwijzing dat deze kaartklassen plaatsverschillen kunnen beschrijven, geen gevalideerd model van verandering: de volledige modellen zijn ongeldig, de overige plotblokken vallen uit en geen van de zes tijdstoetsen slaagt. De tijdstoetsen voor landgebruik leren uit 2010 en 2015 en toetsen op 2017 en 2022. Drie vallen door modeluitval uit; bij twee kan door een rangdeficiënte trainingsmatrix niet op de latere jaren worden voorspeld. Dit is technische modeluitval, geen ecologische nulbevinding.</w:t>
      </w:r>
    </w:p>
    <w:p>
      <w:pPr>
        <w:keepLines w:val="0"/>
      </w:pPr>
      <w:r>
        <w:rPr>
          <w:rFonts w:ascii="Arial" w:hAnsi="Arial" w:eastAsia="Arial"/>
        </w:rPr>
        <w:t>De conclusie is begrensd. De beschikbare stikstof- en CBS-landgebruiksgegevens leveren geen bestendig model waarmee vogelverandering in latere jaren of andere plots kan worden voorspeld. Daarmee is niet aangetoond dat stikstof of landgebruik ecologisch onbelangrijk zijn. Wel is aangetoond dat deze gegevens, in deze modelopzet en met deze dekking, niet voldoen aan de vooraf bepaalde toegangspoort tot de poweranalyse.</w:t>
      </w:r>
    </w:p>
    <w:p>
      <w:pPr>
        <w:keepLines w:val="0"/>
      </w:pPr>
      <w:r>
        <w:rPr>
          <w:rFonts w:ascii="Arial" w:hAnsi="Arial" w:eastAsia="Arial"/>
        </w:rPr>
        <w:t>De soort- en groepsuitvoer is wel volledig bewaard: 930 soortregels en 84 regels voor acht ecologische en zes functionele groepen. Alleen de veertien stikstofgroepen berusten op een volledig geldig modelpaar. Hun geschatte binnen-plotverhoudingen liggen tussen 0,985 en 1,012 per standaardafwijking en dus alle dicht bij één. Dit zijn beschrijvende, gedeeltelijk gepoolde soortreacties; door de mislukte externe validatie zijn zij geen afzonderlijk bewijs voor een stikstofeffect op een vogelgroep.</w:t>
      </w:r>
    </w:p>
    <w:p>
      <w:pPr>
        <w:pStyle w:val="Heading2"/>
      </w:pPr>
      <w:r>
        <w:rPr>
          <w:rFonts w:ascii="Arial" w:hAnsi="Arial" w:eastAsia="Arial"/>
        </w:rPr>
        <w:t>4. Aanvullende verklarende blokken</w:t>
      </w:r>
    </w:p>
    <w:p>
      <w:pPr>
        <w:keepLines w:val="0"/>
      </w:pPr>
      <w:r>
        <w:rPr>
          <w:rFonts w:ascii="Arial" w:hAnsi="Arial" w:eastAsia="Arial"/>
        </w:rPr>
        <w:t>We voegen verklarende informatie in herkenbare blokken toe:</w:t>
      </w:r>
    </w:p>
    <w:p>
      <w:pPr>
        <w:keepLines/>
        <w:ind w:left="461" w:hanging="346"/>
      </w:pPr>
      <w:r>
        <w:rPr>
          <w:rFonts w:ascii="Arial" w:hAnsi="Arial" w:eastAsia="Arial"/>
        </w:rPr>
        <w:t>1. weer;</w:t>
      </w:r>
    </w:p>
    <w:p>
      <w:pPr>
        <w:keepLines/>
        <w:ind w:left="461" w:hanging="346"/>
      </w:pPr>
      <w:r>
        <w:rPr>
          <w:rFonts w:ascii="Arial" w:hAnsi="Arial" w:eastAsia="Arial"/>
        </w:rPr>
        <w:t>2. stikstof;</w:t>
      </w:r>
    </w:p>
    <w:p>
      <w:pPr>
        <w:keepLines/>
        <w:ind w:left="461" w:hanging="346"/>
      </w:pPr>
      <w:r>
        <w:rPr>
          <w:rFonts w:ascii="Arial" w:hAnsi="Arial" w:eastAsia="Arial"/>
        </w:rPr>
        <w:t>3. landgebruik;</w:t>
      </w:r>
    </w:p>
    <w:p>
      <w:pPr>
        <w:keepLines/>
        <w:ind w:left="461" w:hanging="346"/>
      </w:pPr>
      <w:r>
        <w:rPr>
          <w:rFonts w:ascii="Arial" w:hAnsi="Arial" w:eastAsia="Arial"/>
        </w:rPr>
        <w:t>4. vaste ruimtelijke context;</w:t>
      </w:r>
    </w:p>
    <w:p>
      <w:pPr>
        <w:keepLines/>
        <w:ind w:left="461" w:hanging="346"/>
      </w:pPr>
      <w:r>
        <w:rPr>
          <w:rFonts w:ascii="Arial" w:hAnsi="Arial" w:eastAsia="Arial"/>
        </w:rPr>
        <w:t>5. alleen waar de dekking het toestaat: andere biotische informatie.</w:t>
      </w:r>
    </w:p>
    <w:p>
      <w:pPr>
        <w:keepLines w:val="0"/>
      </w:pPr>
      <w:r>
        <w:rPr>
          <w:rFonts w:ascii="Arial" w:hAnsi="Arial" w:eastAsia="Arial"/>
        </w:rPr>
        <w:t>Een variabele wordt niet toegevoegd omdat zij toevallig in de database staat. Koppeling, meeteenheid, periode, ontbrekende waarden en inhoudelijke betekenis moeten eerst bij de onderzoeksvraag passen.</w:t>
      </w:r>
    </w:p>
    <w:p>
      <w:pPr>
        <w:pStyle w:val="Heading2"/>
      </w:pPr>
      <w:r>
        <w:rPr>
          <w:rFonts w:ascii="Arial" w:hAnsi="Arial" w:eastAsia="Arial"/>
        </w:rPr>
        <w:t>5. Groeps- en traituitkomsten</w:t>
      </w:r>
    </w:p>
    <w:p>
      <w:pPr>
        <w:keepLines w:val="0"/>
      </w:pPr>
      <w:r>
        <w:rPr>
          <w:rFonts w:ascii="Arial" w:hAnsi="Arial" w:eastAsia="Arial"/>
        </w:rPr>
        <w:t>Het soortmodel is leidend. De voorspelde soortreacties en hun onzekerheid worden daarna samengebracht voor functionele, ecologische en habitatgroepen. Een rechtstreeks model van het groepstotaal dient als gevoeligheidsanalyse, niet als zelfstandig bewijs wanneer het soortmodel een andere uitkomst geeft.</w:t>
      </w:r>
    </w:p>
    <w:p>
      <w:pPr>
        <w:pStyle w:val="Heading2"/>
      </w:pPr>
      <w:r>
        <w:rPr>
          <w:rFonts w:ascii="Arial" w:hAnsi="Arial" w:eastAsia="Arial"/>
        </w:rPr>
        <w:t>6. Voorspellende toets</w:t>
      </w:r>
    </w:p>
    <w:p>
      <w:pPr>
        <w:keepLines w:val="0"/>
      </w:pPr>
      <w:r>
        <w:rPr>
          <w:rFonts w:ascii="Arial" w:hAnsi="Arial" w:eastAsia="Arial"/>
        </w:rPr>
        <w:t>Modellen worden niet alleen beoordeeld met significantie of AIC. Zij moeten voorspellen voor gegevens die niet voor schatting zijn gebruikt:</w:t>
      </w:r>
    </w:p>
    <w:p>
      <w:pPr>
        <w:pStyle w:val="ListBullet"/>
        <w:keepLines/>
      </w:pPr>
      <w:r>
        <w:rPr>
          <w:rFonts w:ascii="Arial" w:hAnsi="Arial" w:eastAsia="Arial"/>
        </w:rPr>
        <w:t>achtergehouden jaren toetsen voorspelling in de tijd;</w:t>
      </w:r>
    </w:p>
    <w:p>
      <w:pPr>
        <w:pStyle w:val="ListBullet"/>
        <w:keepLines/>
      </w:pPr>
      <w:r>
        <w:rPr>
          <w:rFonts w:ascii="Arial" w:hAnsi="Arial" w:eastAsia="Arial"/>
        </w:rPr>
        <w:t>achtergehouden plots toetsen voorspelling op andere plaatsen;</w:t>
      </w:r>
    </w:p>
    <w:p>
      <w:pPr>
        <w:pStyle w:val="ListBullet"/>
        <w:keepLines/>
      </w:pPr>
      <w:r>
        <w:rPr>
          <w:rFonts w:ascii="Arial" w:hAnsi="Arial" w:eastAsia="Arial"/>
        </w:rPr>
        <w:t>dezelfde uitsplitsing wordt gebruikt bij vergelijking van het basismodel en het model met PQ of andere verklarende blokken.</w:t>
      </w:r>
    </w:p>
    <w:p>
      <w:pPr>
        <w:keepLines w:val="0"/>
      </w:pPr>
      <w:r>
        <w:rPr>
          <w:rFonts w:ascii="Arial" w:hAnsi="Arial" w:eastAsia="Arial"/>
        </w:rPr>
        <w:t>De toegevoegde waarde van PQ is het verschil in voorspelfout tussen modellen op exact dezelfde gegevens, niet alleen een significante regressiecoëfficiënt.</w:t>
      </w:r>
    </w:p>
    <w:p>
      <w:pPr>
        <w:keepLines w:val="0"/>
      </w:pPr>
      <w:r>
        <w:rPr>
          <w:rFonts w:ascii="Arial" w:hAnsi="Arial" w:eastAsia="Arial"/>
        </w:rPr>
        <w:t>Deze toets is uitgevoerd met vijf achtergehouden plotblokken en twee achtergehouden perioden. Totale bedekking verbeterde de ruimtelijke logscore gemiddeld licht en was in drie van vijf blokken beter. Soortenrijkdom was in vier van vijf blokken beter, maar door één duidelijk slechter blok gemiddeld vrijwel gelijk. Shannon verslechterde gemiddeld en was in twee van vijf blokken beter. Er is daarmee geen ruimtelijke winst die bestendig is over de drie maten en vijf plotblokken.</w:t>
      </w:r>
    </w:p>
    <w:p>
      <w:pPr>
        <w:keepLines w:val="0"/>
      </w:pPr>
      <w:r>
        <w:rPr>
          <w:rFonts w:ascii="Arial" w:hAnsi="Arial" w:eastAsia="Arial"/>
        </w:rPr>
        <w:t>Voor latere jaren waren de logscore, MAE en RMSE met PQ voor alle drie maten in beide tijdsblokken iets beter. Na verwijdering van Aalscholver verdween de eerdere voorspelling van 14.804 territoria bij een nulwaarneming. Het hoogste modelgemiddelde was nu 133 Vinken tegenover 11 getelde in M55/2025. De absolute extrapolatie is dus sterk verbeterd maar nog niet volledig goed gekalibreerd. De bescheiden relatieve tijdswinst weegt daarom mee als positieve modeldiagnose, niet als zelfstandig bewijs dat deze drie PQ-maten de latere vogelstand betrouwbaar voorspellen.</w:t>
      </w:r>
    </w:p>
    <w:p>
      <w:pPr>
        <w:pStyle w:val="Heading2"/>
      </w:pPr>
      <w:r>
        <w:rPr>
          <w:rFonts w:ascii="Arial" w:hAnsi="Arial" w:eastAsia="Arial"/>
        </w:rPr>
        <w:t>7. Poweranalyse</w:t>
      </w:r>
    </w:p>
    <w:p>
      <w:pPr>
        <w:keepLines w:val="0"/>
      </w:pPr>
      <w:r>
        <w:rPr>
          <w:rFonts w:ascii="Arial" w:hAnsi="Arial" w:eastAsia="Arial"/>
        </w:rPr>
        <w:t>De historische trend en de poweranalyse blijven gescheiden. De historische analyse beschrijft wat de bestaande gegevens laten zien. De poweranalyse simuleert daarna welke vooraf omschreven toekomstige of hypothetische verandering met deze meetopzet aantoonbaar is.</w:t>
      </w:r>
    </w:p>
    <w:p>
      <w:pPr>
        <w:keepLines w:val="0"/>
      </w:pPr>
      <w:r>
        <w:rPr>
          <w:rFonts w:ascii="Arial" w:hAnsi="Arial" w:eastAsia="Arial"/>
        </w:rPr>
        <w:t>De simulatie neemt ten minste de werkelijke plots, perioden, ontbrekende waarden, nulregels, overdispersie, temporele samenhang en modeluitval over. Power wordt afzonderlijk bepaald voor relevante soorten, groepen, gemeenschapskenmerken en relaties met vegetatie. Niet-convergerende modellen tellen niet als gedetecteerd.</w:t>
      </w:r>
    </w:p>
    <w:p>
      <w:pPr>
        <w:keepLines w:val="0"/>
      </w:pPr>
      <w:r>
        <w:rPr>
          <w:rFonts w:ascii="Arial" w:hAnsi="Arial" w:eastAsia="Arial"/>
        </w:rPr>
        <w:t xml:space="preserve">De eerste formele uitvoering is run </w:t>
      </w:r>
      <w:r>
        <w:rPr>
          <w:rFonts w:ascii="Courier New" w:hAnsi="Courier New" w:eastAsia="Courier New"/>
          <w:sz w:val="19"/>
        </w:rPr>
        <w:t>20261028T172857Z-423b7fe7f7cb</w:t>
      </w:r>
      <w:r>
        <w:rPr>
          <w:rFonts w:ascii="Arial" w:hAnsi="Arial" w:eastAsia="Arial"/>
        </w:rPr>
        <w:t>. Alleen de drie in de voorspellende toets overgebleven territoriumrelaties zijn doorgegeven. Per scenario zijn 10.000 trekkingen gedaan uit de gezamenlijke onzekerheidsverdeling van de zes modelcoëfficiënten waarin de omvang van de PQ-verandering voorkomt. De twee losse termen voor tijd sinds de PQ-opname zijn niet als vegetatie-effect getoetst. Detectie vereist een gezamenlijke Waldtoets met p &lt; 0,05 en een ankereffect in de gesimuleerde richting. De ondergrens van het 95%-Monte-Carlo-interval moet ten minste 80% bedragen. Bij een werkelijk effect van nul ligt het foutpositieve percentage in de zes richtingsscenario's tussen 4,7 en 5,2%; de toets is daarmee overeenkomstig de gekozen grens gekalibreerd. Alle 1.854 scenario's waren numeriek geldig.</w:t>
      </w:r>
    </w:p>
    <w:p>
      <w:pPr>
        <w:keepLines w:val="0"/>
      </w:pPr>
      <w:r>
        <w:rPr>
          <w:rFonts w:ascii="Arial" w:hAnsi="Arial" w:eastAsia="Arial"/>
        </w:rPr>
        <w:t>Dit is een parametrische simulatie op coëfficiëntniveau, geen nieuwe bootstrap van alle afzonderlijke territoriumaantallen. De werkelijke plot-, jaar-, teller/tellerteam-, PQ-, ontbrekendewaarden- en variantiestructuur werkt door via de gezamenlijke coëfficiëntencovariantie van het in Taak 3 geschatte model. Voor toekomstscenario's wordt die informatie evenredig opgeschaald. Daardoor zijn de uitkomsten geschikt als detectiegrens bij gelijkblijvende meetkwaliteit, maar niet als voorspelling van precies welke toekomstige plots, tellers of vegetatieveranderingen beschikbaar zullen zijn.</w:t>
      </w:r>
    </w:p>
    <w:p>
      <w:pPr>
        <w:pStyle w:val="Heading3"/>
      </w:pPr>
      <w:r>
        <w:rPr>
          <w:rFonts w:ascii="Arial" w:hAnsi="Arial" w:eastAsia="Arial"/>
        </w:rPr>
        <w:t>Werkelijk waargenomen meetstructuur</w:t>
      </w:r>
    </w:p>
    <w:p>
      <w:pPr>
        <w:keepLines w:val="0"/>
      </w:pPr>
      <w:r>
        <w:rPr>
          <w:rFonts w:ascii="Arial" w:hAnsi="Arial" w:eastAsia="Arial"/>
        </w:rPr>
        <w:t>De drie kandidaten gebruiken dezelfde 650 vogelplotjaren in 35 plots uit 1994–2025. De volledige combinatie van 35 plots en 32 jaren zou 1.120 plotjaren bevatten; 470 combinaties hebben binnen deze analyse geen geldige koppeling van vogelrespons, voorafgaande PQ-verandering en bekende teller/tellerteamregistratie. Dat betekent een analysematige dekking van 58,0%, niet dat al die 470 combinaties afgekeurde of ontbrekende tellingen zijn.</w:t>
      </w:r>
    </w:p>
    <w:p>
      <w:pPr>
        <w:keepLines w:val="0"/>
      </w:pPr>
      <w:r>
        <w:rPr>
          <w:rFonts w:ascii="Arial" w:hAnsi="Arial" w:eastAsia="Arial"/>
        </w:rPr>
        <w:t>De 650 plotjaren zijn gekoppeld aan 362 verschillende PQ-intervallen: 132 van één jaar, 137 van twee jaar, 54 van drie jaar, 35 van vier jaar en vier van vijf tot zeven jaar. De vogelreacties liggen zeer ongelijk over de vertragingen: 336 in het eindjaar van het PQ-interval, 299 één tot drie jaar later, tien vier tot zeven jaar later en vijf acht tot veertien jaar later. Daarmee ligt 97,7% van alle responsinformatie binnen nul tot drie jaar. De modelcurve kan tot veertien jaar worden berekend, maar de laatste zeven jaar rusten samen op slechts vijf vogelplotjaren.</w:t>
      </w:r>
    </w:p>
    <w:p>
      <w:pPr>
        <w:keepLines w:val="0"/>
      </w:pPr>
      <w:r>
        <w:rPr>
          <w:rFonts w:ascii="Arial" w:hAnsi="Arial" w:eastAsia="Arial"/>
        </w:rPr>
        <w:t>Voor alle 650 plotjaren is de teller/tellerteamregistratie bekend: 572 zijn door één teller uitgevoerd, 77 door twee tellers en één door drie tellers. Samen vormen zij 96 verschillende teller/tellerteamidentificaties. Binnen 565 overgangen naar het direct volgende jaar in dezelfde plot veranderde de teller/tellerteamsamenstelling 81 keer. De mediane geregistreerde ervaring in de plot is 1,792 op de gebruikte log(1 + eerdere teljaren)-schaal; voor één teller komt dat overeen met vijf eerdere geregistreerde teljaren in die plot. De mediane geregistreerde ervaring elders is nul.</w:t>
      </w:r>
    </w:p>
    <w:p>
      <w:pPr>
        <w:keepLines w:val="0"/>
      </w:pPr>
      <w:r>
        <w:rPr>
          <w:rFonts w:ascii="Arial" w:hAnsi="Arial" w:eastAsia="Arial"/>
        </w:rPr>
        <w:t>Voor duingrasland/mossen/korstmossen bevatten de 362 intervallen 182 afnamen en 180 toenamen; de medianen zijn respectievelijk −7,59 en +8,60 procentpunt bedekking per jaar. Voor bomen/bos zijn dat 171 afnamen, één onveranderd interval en 190 toenamen, met medianen −5,33 en +3,91 procentpunt per jaar. De gemeenschapsmodellen omvatten 136 vogelsoorten. De functionele groep bodemfoeragerende insecteneters omvat 62 soorten.</w:t>
      </w:r>
    </w:p>
    <w:p>
      <w:pPr>
        <w:pStyle w:val="Heading3"/>
      </w:pPr>
      <w:r>
        <w:rPr>
          <w:rFonts w:ascii="Arial" w:hAnsi="Arial" w:eastAsia="Arial"/>
        </w:rPr>
        <w:t>Detecteerbaarheid met de historische opzet</w:t>
      </w:r>
    </w:p>
    <w:p>
      <w:pPr>
        <w:keepLines w:val="0"/>
      </w:pPr>
      <w:r>
        <w:rPr>
          <w:rFonts w:ascii="Arial" w:hAnsi="Arial" w:eastAsia="Arial"/>
        </w:rPr>
        <w:t>Het effectpercentage hieronder is de verandering in territoriumaantal bij veertien jaar vertraging na een mediane vegetatieverandering, ten opzichte van geen vegetatieverandering. Het is dus niet het percentage waarmee de vegetatie zelf veranderde.</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Relatie</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Vegetatierichting</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Geschatte vogelreactie</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Power</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Kleinste detecteerbare vogelreactie</w:t>
            </w:r>
          </w:p>
        </w:tc>
      </w:tr>
      <w:tr>
        <w:trPr>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Duingrasland – gehele gemeenschap</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afname</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+36,6%</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37,4%</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65%</w:t>
            </w:r>
          </w:p>
        </w:tc>
      </w:tr>
      <w:tr>
        <w:trPr>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Duingrasland – gehele gemeenschap</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toename</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−29,5%</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41,0%</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45%</w:t>
            </w:r>
          </w:p>
        </w:tc>
      </w:tr>
      <w:tr>
        <w:trPr>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Bomen/bos – gehele gemeenschap</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afname</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−20,7%</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26,9%</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35%</w:t>
            </w:r>
          </w:p>
        </w:tc>
      </w:tr>
      <w:tr>
        <w:trPr>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Bomen/bos – gehele gemeenschap</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toename</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+24,2%</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25,5%</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55%</w:t>
            </w:r>
          </w:p>
        </w:tc>
      </w:tr>
      <w:tr>
        <w:trPr>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Duingrasland – bodemfoerageerders</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afname</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+16,5%</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31,2%</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35%</w:t>
            </w:r>
          </w:p>
        </w:tc>
      </w:tr>
      <w:tr>
        <w:trPr>
          <w:cantSplit/>
        </w:trPr>
        <w:tc>
          <w:tcPr>
            <w:tcW w:type="dxa" w:w="242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Duingrasland – bodemfoerageerders</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toename</w:t>
            </w:r>
          </w:p>
        </w:tc>
        <w:tc>
          <w:tcPr>
            <w:tcW w:type="dxa" w:w="18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−21,2%</w:t>
            </w:r>
          </w:p>
        </w:tc>
        <w:tc>
          <w:tcPr>
            <w:tcW w:type="dxa" w:w="156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38,9%</w:t>
            </w:r>
          </w:p>
        </w:tc>
        <w:tc>
          <w:tcPr>
            <w:tcW w:type="dxa" w:w="252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35%</w:t>
            </w:r>
          </w:p>
        </w:tc>
      </w:tr>
    </w:tbl>
    <w:p>
      <w:pPr>
        <w:spacing w:after="20"/>
      </w:pPr>
    </w:p>
    <w:p>
      <w:pPr>
        <w:keepLines w:val="0"/>
      </w:pPr>
      <w:r>
        <w:rPr>
          <w:rFonts w:ascii="Arial" w:hAnsi="Arial" w:eastAsia="Arial"/>
        </w:rPr>
        <w:t>Geen van de geschatte reacties haalt dus 80% power. Dat past bij de eerdere brede onzekerheidsintervallen en de niet-bevestigende gebeurtenisanalyse. De poweranalyse maakt nu concreet hoeveel gevoeligheid ontbreekt; zij maakt de relaties niet aannemelijker of causaal.</w:t>
      </w:r>
    </w:p>
    <w:p>
      <w:pPr>
        <w:pStyle w:val="Heading3"/>
      </w:pPr>
      <w:r>
        <w:rPr>
          <w:rFonts w:ascii="Arial" w:hAnsi="Arial" w:eastAsia="Arial"/>
        </w:rPr>
        <w:t>Equivalent toekomstig meetvolume</w:t>
      </w:r>
    </w:p>
    <w:p>
      <w:pPr>
        <w:keepLines w:val="0"/>
      </w:pPr>
      <w:r>
        <w:rPr>
          <w:rFonts w:ascii="Arial" w:hAnsi="Arial" w:eastAsia="Arial"/>
        </w:rPr>
        <w:t>Voor vooraf gekozen vogelreacties van 10%, 20% en 30% is de informatie in de historische opzet vermenigvuldigd, met behoud van dezelfde dekking, variantie, ontbrekende combinaties, teller/tellerteamverdeling en verdeling van PQ-intervallen en vertragingen. Voor een effect van 30% varieert de benodigde aanvulling van negen tot tachtig equivalente jaren en van drie tot 26 volledige PQ-ronden. Voor 20% is dat 57–201 jaren; voor 10% vraagt vijf van de zes richtingen 281–768 jaren en haalt afname van duingrasland voor de hele gemeenschap zelfs bij 25 maal de huidige informatie de conservatieve 80%-grens niet.</w:t>
      </w:r>
    </w:p>
    <w:p>
      <w:pPr>
        <w:keepLines w:val="0"/>
      </w:pPr>
      <w:r>
        <w:rPr>
          <w:rFonts w:ascii="Arial" w:hAnsi="Arial" w:eastAsia="Arial"/>
        </w:rPr>
        <w:t>Deze aantallen zijn geen kalenderprognose en ook geen advies om eenvoudig eeuwen door te tellen. Zij drukken uit dat jaarlijkse vogeltellingen alleen weinig extra informatie leveren wanneer nauwelijks nieuwe onafhankelijke vegetatieveranderingen en lange responsvertragingen beschikbaar komen. Een efficiënter vervolgmeetnet vraagt daarom herhaalde PQ-metingen in meer plots, gevolgd door vogelmetingen op vooraf gekozen latere termijnen. Een complexer toestandsruimtemodel kan de schaarse lange vertragingen niet vervangen en is daarom nu niet toegevoegd.</w:t>
      </w:r>
    </w:p>
    <w:p>
      <w:pPr>
        <w:pStyle w:val="Heading2"/>
      </w:pPr>
      <w:r>
        <w:rPr>
          <w:rFonts w:ascii="Arial" w:hAnsi="Arial" w:eastAsia="Arial"/>
        </w:rPr>
        <w:t>8. Niet-lineaire en vertraagde verandering van PQ naar vogels</w:t>
      </w:r>
    </w:p>
    <w:p>
      <w:pPr>
        <w:keepLines w:val="0"/>
      </w:pPr>
      <w:r>
        <w:rPr>
          <w:rFonts w:ascii="Arial" w:hAnsi="Arial" w:eastAsia="Arial"/>
        </w:rPr>
        <w:t>De eerdere PQ-modellen toetsten gelijktijdige relaties en afzonderlijke vertragingen van één tot drie jaar. De nieuwe fase stelt een andere vraag: volgt na een verandering van de vegetatie binnen dezelfde plot een onmiddellijke, vertraagde, tijdelijke of blijvende verandering bij vogels? De reactie wordt niet vooraf lineair verondersteld en mag meerdere jaren beslaan.</w:t>
      </w:r>
    </w:p>
    <w:p>
      <w:pPr>
        <w:keepLines w:val="0"/>
      </w:pPr>
      <w:r>
        <w:rPr>
          <w:rFonts w:ascii="Arial" w:hAnsi="Arial" w:eastAsia="Arial"/>
        </w:rPr>
        <w:t>De PQ-soortensamenstelling wordt hiervoor eerst samengevat in vijf ecologisch benoemde gradiënten: open zand/pionier, duingrasland/mossen/korstmossen, nat/riet, struweel/ruigte en bomen/bos. Verandering wordt gedeeld door het aantal jaren tussen twee opeenvolgende PQ-opnamen. Daarna wordt de omvang en richting van die verandering gezamenlijk gemodelleerd met het aantal jaren sinds de verandering. Hetzelfde vogelbasismodel blijft staan, inclusief Natura 2000-scope, teller/tellerteam, geregistreerde ervaring, plot- en jaarstructuur. Een basis-, lineair en begrensd niet-lineair model worden op dezelfde responsrijen en met achtergehouden plots en jaren vergeleken.</w:t>
      </w:r>
    </w:p>
    <w:p>
      <w:pPr>
        <w:keepLines w:val="0"/>
      </w:pPr>
      <w:r>
        <w:rPr>
          <w:rFonts w:ascii="Arial" w:hAnsi="Arial" w:eastAsia="Arial"/>
        </w:rPr>
        <w:t xml:space="preserve">De eerste uitvoering bepaalt uitsluitend de beschikbare koppelingen. Run </w:t>
      </w:r>
      <w:r>
        <w:rPr>
          <w:rFonts w:ascii="Courier New" w:hAnsi="Courier New" w:eastAsia="Courier New"/>
          <w:sz w:val="19"/>
        </w:rPr>
        <w:t>20261028T142316Z-d6169d52f603</w:t>
      </w:r>
      <w:r>
        <w:rPr>
          <w:rFonts w:ascii="Arial" w:hAnsi="Arial" w:eastAsia="Arial"/>
        </w:rPr>
        <w:t xml:space="preserve"> gebruikt de actuele lokale database, 1.314 plotgekoppelde PQ-opnamen uit 1981–2025 en de vogelmodelpopulatie met bekende teller/tellerteam. Aalscholver is conform het bestaande besluit uitgesloten. De dekking bedraagt:</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Vertraging</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Vogelplotjaren</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Plots</w:t>
            </w:r>
          </w:p>
        </w:tc>
        <w:tc>
          <w:tcPr>
            <w:tcW w:type="dxa" w:w="200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Soort–plot–jaarrijen</w:t>
            </w:r>
          </w:p>
        </w:tc>
        <w:tc>
          <w:tcPr>
            <w:tcW w:type="dxa" w:w="22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6"/>
              </w:rPr>
              <w:t>Aandeel van vertraging 0</w:t>
            </w:r>
          </w:p>
        </w:tc>
      </w:tr>
      <w:tr>
        <w:trPr>
          <w:cantSplit/>
        </w:trPr>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0 jaar</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406</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35</w:t>
            </w:r>
          </w:p>
        </w:tc>
        <w:tc>
          <w:tcPr>
            <w:tcW w:type="dxa" w:w="200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37.140</w:t>
            </w:r>
          </w:p>
        </w:tc>
        <w:tc>
          <w:tcPr>
            <w:tcW w:type="dxa" w:w="22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100%</w:t>
            </w:r>
          </w:p>
        </w:tc>
      </w:tr>
      <w:tr>
        <w:trPr>
          <w:cantSplit/>
        </w:trPr>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3 jaar</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349</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35</w:t>
            </w:r>
          </w:p>
        </w:tc>
        <w:tc>
          <w:tcPr>
            <w:tcW w:type="dxa" w:w="200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32.117</w:t>
            </w:r>
          </w:p>
        </w:tc>
        <w:tc>
          <w:tcPr>
            <w:tcW w:type="dxa" w:w="22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86%</w:t>
            </w:r>
          </w:p>
        </w:tc>
      </w:tr>
      <w:tr>
        <w:trPr>
          <w:cantSplit/>
        </w:trPr>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7 jaar</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285</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35</w:t>
            </w:r>
          </w:p>
        </w:tc>
        <w:tc>
          <w:tcPr>
            <w:tcW w:type="dxa" w:w="200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26.461</w:t>
            </w:r>
          </w:p>
        </w:tc>
        <w:tc>
          <w:tcPr>
            <w:tcW w:type="dxa" w:w="22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70%</w:t>
            </w:r>
          </w:p>
        </w:tc>
      </w:tr>
      <w:tr>
        <w:trPr>
          <w:cantSplit/>
        </w:trPr>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6"/>
              </w:rPr>
              <w:t>10 jaar</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233</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35</w:t>
            </w:r>
          </w:p>
        </w:tc>
        <w:tc>
          <w:tcPr>
            <w:tcW w:type="dxa" w:w="200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21.626</w:t>
            </w:r>
          </w:p>
        </w:tc>
        <w:tc>
          <w:tcPr>
            <w:tcW w:type="dxa" w:w="22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jc w:val="center"/>
            </w:pPr>
            <w:r>
              <w:rPr>
                <w:rFonts w:ascii="Arial" w:hAnsi="Arial" w:eastAsia="Arial"/>
                <w:color w:val="000000"/>
                <w:sz w:val="16"/>
              </w:rPr>
              <w:t>57%</w:t>
            </w:r>
          </w:p>
        </w:tc>
      </w:tr>
      <w:tr>
        <w:trPr>
          <w:cantSplit/>
        </w:trPr>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6"/>
              </w:rPr>
              <w:t>15 jaar</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180</w:t>
            </w:r>
          </w:p>
        </w:tc>
        <w:tc>
          <w:tcPr>
            <w:tcW w:type="dxa" w:w="185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32</w:t>
            </w:r>
          </w:p>
        </w:tc>
        <w:tc>
          <w:tcPr>
            <w:tcW w:type="dxa" w:w="2009"/>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16.761</w:t>
            </w:r>
          </w:p>
        </w:tc>
        <w:tc>
          <w:tcPr>
            <w:tcW w:type="dxa" w:w="22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center"/>
            </w:pPr>
            <w:r>
              <w:rPr>
                <w:rFonts w:ascii="Arial" w:hAnsi="Arial" w:eastAsia="Arial"/>
                <w:color w:val="000000"/>
                <w:sz w:val="16"/>
              </w:rPr>
              <w:t>44%</w:t>
            </w:r>
          </w:p>
        </w:tc>
      </w:tr>
    </w:tbl>
    <w:p>
      <w:pPr>
        <w:spacing w:after="20"/>
      </w:pPr>
    </w:p>
    <w:p>
      <w:pPr>
        <w:keepLines w:val="0"/>
      </w:pPr>
      <w:r>
        <w:rPr>
          <w:rFonts w:ascii="Arial" w:hAnsi="Arial" w:eastAsia="Arial"/>
        </w:rPr>
        <w:t>Er is dus geen harde datagrens bij drie jaar. De daarna uitgevoerde intervalanalyse gebruikt de officiële EcoDbase uit SynBioSys om planttaxa op grond van ecotoop, sociologische groep, levensvorm en groeivorm aan de vijf gradiënten te koppelen. Bestaande taxongroepen vullen mossen, levermossen, korstmossen en algen aan. Taxa kunnen meerdere gradiënten dragen, maar hun bedekking wordt dan verdeeld en niet dubbel geteld. Onbekende vaatplanten zijn niet inhoudelijk geraden.</w:t>
      </w:r>
    </w:p>
    <w:p>
      <w:pPr>
        <w:keepLines w:val="0"/>
      </w:pPr>
      <w:r>
        <w:rPr>
          <w:rFonts w:ascii="Arial" w:hAnsi="Arial" w:eastAsia="Arial"/>
        </w:rPr>
        <w:t>De 1.314 gekoppelde PQ-opnamen bevatten 35.672 taxonregels en 642 taxa. Hiervan zijn 528 taxa herleidbaar ingedeeld. Een plotjaar is alleen geldig als minimaal 80% van de totale geregistreerde bedekking is ingedeeld. Van 501 plotjaren in 35 plots over 1981–2025 voldoen er 485. Alleen werkelijk opeenvolgende, beide geldige plotjaren vormen een veranderingsinterval. Dat levert 441 intervallen: 164 van één jaar, 159 van twee, 69 van drie, 44 van vier en vier langere intervallen. Alle vijf gradiënten veranderen in 32–35 plots.</w:t>
      </w:r>
    </w:p>
    <w:p>
      <w:pPr>
        <w:keepLines w:val="0"/>
      </w:pPr>
      <w:r>
        <w:rPr>
          <w:rFonts w:ascii="Arial" w:hAnsi="Arial" w:eastAsia="Arial"/>
        </w:rPr>
        <w:t>Bij nul, zeven, tien en vijftien jaar na een interval zijn respectievelijk 366, 249, 196 en 149 intervallen aan een geldig vogelplotjaar te koppelen. Bij vijftien jaar zijn nog 30 plots vertegenwoordigd. Vijftien jaar blijft daarom de maximale reactieduur voor het gemeenschapsmodel en de vooraf gekozen vogelgroepen. Voor afzonderlijke soorten geldt die keuze alleen wanneer hun eigen responsdekking en modelschatting geldig zijn. Ook deze uitkomst toont alleen dat het model geschat kan worden; zij bewijst nog geen verband en is nog geen poweranalyse.</w:t>
      </w:r>
    </w:p>
    <w:p>
      <w:pPr>
        <w:keepLines w:val="0"/>
      </w:pPr>
      <w:r>
        <w:rPr>
          <w:rFonts w:ascii="Arial" w:hAnsi="Arial" w:eastAsia="Arial"/>
        </w:rPr>
        <w:t>Het hoofdmodel voorkomt vervolgens dat hetzelfde vogelplotjaar tegelijk als reactie op meerdere PQ-intervallen meetelt. Per plotjaar wordt uitsluitend de meest recente voorafgaande verandering gebruikt. Daardoor bevat de gemeenschapsanalyse 650 vogelplotjaren in 35 plots over 1994–2025, gekoppeld aan 362 veranderingsintervallen. De langste feitelijk gebruikte vertraging is veertien jaar: zodra een nieuwe PQ-opname beschikbaar is, vervangt het nieuwe interval het oudere als mogelijke verklaring.</w:t>
      </w:r>
    </w:p>
    <w:p>
      <w:pPr>
        <w:keepLines w:val="0"/>
      </w:pPr>
      <w:r>
        <w:rPr>
          <w:rFonts w:ascii="Arial" w:hAnsi="Arial" w:eastAsia="Arial"/>
        </w:rPr>
        <w:t xml:space="preserve">Run </w:t>
      </w:r>
      <w:r>
        <w:rPr>
          <w:rFonts w:ascii="Courier New" w:hAnsi="Courier New" w:eastAsia="Courier New"/>
          <w:sz w:val="19"/>
        </w:rPr>
        <w:t>20261028T162051Z-70d6fa9bbef7</w:t>
      </w:r>
      <w:r>
        <w:rPr>
          <w:rFonts w:ascii="Arial" w:hAnsi="Arial" w:eastAsia="Arial"/>
        </w:rPr>
        <w:t xml:space="preserve"> onderzocht zeventien vooraf vastgelegde relaties, ieder voor territoriumaantal en het aandeel aanwezige soorten. Per uitkomst zijn op exact dezelfde rijen een basismodel, een lineair vertraagd model en een begrensd kwadratisch niet-lineair model vergeleken. Van 102 volledige modellen waren er 101 numeriek geldig. Van 204 vergelijkingen op achtergehouden plots en jaren waren er 189 geldig.</w:t>
      </w:r>
    </w:p>
    <w:p>
      <w:pPr>
        <w:keepLines w:val="0"/>
      </w:pPr>
      <w:r>
        <w:rPr>
          <w:rFonts w:ascii="Arial" w:hAnsi="Arial" w:eastAsia="Arial"/>
        </w:rPr>
        <w:t>Drie territoriumrelaties hadden alle vijf ruimtelijke validatieblokken geldig, voorspelden in drie van die vijf blokken beter dan zowel het basis- als het lineaire model en deden dat ook in de latere jaren:</w:t>
      </w:r>
    </w:p>
    <w:p>
      <w:pPr>
        <w:pStyle w:val="ListBullet"/>
        <w:keepLines/>
      </w:pPr>
      <w:r>
        <w:rPr>
          <w:rFonts w:ascii="Arial" w:hAnsi="Arial" w:eastAsia="Arial"/>
        </w:rPr>
        <w:t>duingrasland/mossen/korstmossen met het totale territoriumaantal van de vogelgemeenschap;</w:t>
      </w:r>
    </w:p>
    <w:p>
      <w:pPr>
        <w:pStyle w:val="ListBullet"/>
        <w:keepLines/>
      </w:pPr>
      <w:r>
        <w:rPr>
          <w:rFonts w:ascii="Arial" w:hAnsi="Arial" w:eastAsia="Arial"/>
        </w:rPr>
        <w:t>bomen/bos met het totale territoriumaantal van de vogelgemeenschap;</w:t>
      </w:r>
    </w:p>
    <w:p>
      <w:pPr>
        <w:pStyle w:val="ListBullet"/>
        <w:keepLines/>
      </w:pPr>
      <w:r>
        <w:rPr>
          <w:rFonts w:ascii="Arial" w:hAnsi="Arial" w:eastAsia="Arial"/>
        </w:rPr>
        <w:t>duingrasland/mossen/korstmossen met het territoriumaantal van bodemfoeragerende insecteneters.</w:t>
      </w:r>
    </w:p>
    <w:p>
      <w:pPr>
        <w:keepLines w:val="0"/>
      </w:pPr>
      <w:r>
        <w:rPr>
          <w:rFonts w:ascii="Arial" w:hAnsi="Arial" w:eastAsia="Arial"/>
        </w:rPr>
        <w:t>De geschatte directe reactie op een mediane werkelijke afname of toename was bij alle drie vrijwel één: praktisch geen onmiddellijke verandering. De sterkste modelreactie lag steeds bij veertien tot vijftien jaar. De onzekerheidsintervallen omvatten daar echter steeds de waarde één. Twee aanwezigheidsrelaties voldeden aan de voorspellingstoets, maar hadden geen geldige effectonzekerheid en gelden daarom niet als volledig gevalideerd. Eén niet-lineair territoriummodel en vijftien validatiemodellen vielen numeriek uit; ook die nul- en uitvaluitkomsten zijn bewaard.</w:t>
      </w:r>
    </w:p>
    <w:p>
      <w:pPr>
        <w:keepLines w:val="0"/>
      </w:pPr>
      <w:r>
        <w:rPr>
          <w:rFonts w:ascii="Arial" w:hAnsi="Arial" w:eastAsia="Arial"/>
        </w:rPr>
        <w:t>De afzonderlijke gebeurtenisanalyse gebruikte per relatie negen tot 24 grote, niet-overlappende vegetatieveranderingen. Zij bevestigde de richting van de drie kandidaten niet. Voor een afname van duingrasland was het enige lange-lagresultaat met ten minste vijf gebeurtenissen zelfs tegengesteld aan de modelcurve; voor de overige richtingen waren op die termijn minder dan vijf gebeurtenissen beschikbaar. De drie relaties zijn daarom kandidaten voor simulatie van power en benodigde meetduur, niet het bewijs dat vegetatieverandering de vogelverandering veroorzaakt.</w:t>
      </w:r>
    </w:p>
    <w:p>
      <w:pPr>
        <w:pStyle w:val="Heading2"/>
      </w:pPr>
      <w:r>
        <w:rPr>
          <w:rFonts w:ascii="Arial" w:hAnsi="Arial" w:eastAsia="Arial"/>
        </w:rPr>
        <w:t>KWR-modelonderzoek: HYVEG, MODAK en PROBE</w:t>
      </w:r>
    </w:p>
    <w:p>
      <w:pPr>
        <w:keepLines w:val="0"/>
      </w:pPr>
      <w:r>
        <w:rPr>
          <w:rFonts w:ascii="Arial" w:hAnsi="Arial" w:eastAsia="Arial"/>
        </w:rPr>
        <w:t>Op 26 oktober 2026 zijn HYVEG, MODAK en de PROBE-familie aan de hand van de oorspronkelijke publicaties en actuele KWR-documentatie beoordeeld. MODAK was in 2003 een haalbaarheidsstudie. PROBE-1, ontwikkeld in 2006, berekent het ruimtelijke potentieel van plantengemeenschappen onder scenario's en vraagt onder meer een associatiekaart, wortelzonecalcium, GVG en GLG. De huidige Meijendel-database bevat deze invoer niet als volledige gebiedsdekkende set.</w:t>
      </w:r>
    </w:p>
    <w:p>
      <w:pPr>
        <w:keepLines w:val="0"/>
      </w:pPr>
      <w:r>
        <w:rPr>
          <w:rFonts w:ascii="Arial" w:hAnsi="Arial" w:eastAsia="Arial"/>
        </w:rPr>
        <w:t>PROBE-3 berekent wel ontwikkeling door de tijd. De droge-duinproef uit 2016 onderscheidde zes vegetatieassociaties en classificeerde 82% van een achtergehouden helft van ruim 35.000 landelijke vegetatieopnamen juist. De temporele veldtoets omvatte slechts 30 proefvlakken in de Luchterduinen en modelleerde onder meer begrazing, konijnen, verspreiding en vertraagde reacties niet. Het model is daarom geen vervanging voor de waargenomen PQ-, AHN- en luchtfotoreeksen en evenmin een directe voorspeller van vogels.</w:t>
      </w:r>
    </w:p>
    <w:p>
      <w:pPr>
        <w:keepLines w:val="0"/>
      </w:pPr>
      <w:r>
        <w:rPr>
          <w:rFonts w:ascii="Arial" w:hAnsi="Arial" w:eastAsia="Arial"/>
        </w:rPr>
        <w:t xml:space="preserve">De bruikbare les is de causale volgorde: externe druk en gebeurtenissen werken via bodem, water en vegetatie(structuur) op vogels. Deze blokken blijven in de Meijendel-analyse afzonderlijk herkenbaar en worden alleen samengebracht als de toegevoegde voorspelling standhoudt in achtergehouden plots en jaren. Er is geen PROBE-run uitgevoerd, geen databasewaarde gewijzigd en geen nieuw powergetal berekend. Het volledige brononderzoek staat in </w:t>
      </w:r>
      <w:r>
        <w:rPr>
          <w:rFonts w:ascii="Courier New" w:hAnsi="Courier New" w:eastAsia="Courier New"/>
          <w:sz w:val="19"/>
        </w:rPr>
        <w:t>MODAK_PROBE_HYVEG_BRONONDERZOEK.md</w:t>
      </w:r>
      <w:r>
        <w:rPr>
          <w:rFonts w:ascii="Arial" w:hAnsi="Arial" w:eastAsia="Arial"/>
        </w:rPr>
        <w:t>.</w:t>
      </w:r>
    </w:p>
    <w:p>
      <w:pPr>
        <w:pStyle w:val="Heading1"/>
      </w:pPr>
      <w:r>
        <w:rPr>
          <w:rFonts w:ascii="Arial" w:hAnsi="Arial" w:eastAsia="Arial"/>
        </w:rPr>
        <w:t>Drie analysevensters</w:t>
      </w:r>
    </w:p>
    <w:p>
      <w:pPr>
        <w:keepLines/>
        <w:ind w:left="461" w:hanging="346"/>
      </w:pPr>
      <w:r>
        <w:rPr>
          <w:rFonts w:ascii="Arial" w:hAnsi="Arial" w:eastAsia="Arial"/>
        </w:rPr>
        <w:t xml:space="preserve">1. </w:t>
      </w:r>
      <w:r>
        <w:rPr>
          <w:rFonts w:ascii="Arial" w:hAnsi="Arial" w:eastAsia="Arial"/>
          <w:b/>
        </w:rPr>
        <w:t>Lange vogelreeks, 1958–2025.</w:t>
      </w:r>
      <w:r>
        <w:rPr>
          <w:rFonts w:ascii="Arial" w:hAnsi="Arial" w:eastAsia="Arial"/>
        </w:rPr>
        <w:t xml:space="preserve"> Beschrijving van verandering en bepaling van waarnemingsstructuur. Ecologische verklaringen zijn beperkt tot de bronnen die voor het betreffende jaar beschikbaar zijn.</w:t>
      </w:r>
    </w:p>
    <w:p>
      <w:pPr>
        <w:keepLines/>
        <w:ind w:left="461" w:hanging="346"/>
      </w:pPr>
      <w:r>
        <w:rPr>
          <w:rFonts w:ascii="Arial" w:hAnsi="Arial" w:eastAsia="Arial"/>
        </w:rPr>
        <w:t xml:space="preserve">2. </w:t>
      </w:r>
      <w:r>
        <w:rPr>
          <w:rFonts w:ascii="Arial" w:hAnsi="Arial" w:eastAsia="Arial"/>
          <w:b/>
        </w:rPr>
        <w:t>Kernmodel vogels–PQ, 1981–2025.</w:t>
      </w:r>
      <w:r>
        <w:rPr>
          <w:rFonts w:ascii="Arial" w:hAnsi="Arial" w:eastAsia="Arial"/>
        </w:rPr>
        <w:t xml:space="preserve"> Dezelfde 35 plots vormen de basis voor vergelijking van modellen zonder en met PQ.</w:t>
      </w:r>
    </w:p>
    <w:p>
      <w:pPr>
        <w:keepLines/>
        <w:ind w:left="461" w:hanging="346"/>
      </w:pPr>
      <w:r>
        <w:rPr>
          <w:rFonts w:ascii="Arial" w:hAnsi="Arial" w:eastAsia="Arial"/>
        </w:rPr>
        <w:t xml:space="preserve">3. </w:t>
      </w:r>
      <w:r>
        <w:rPr>
          <w:rFonts w:ascii="Arial" w:hAnsi="Arial" w:eastAsia="Arial"/>
          <w:b/>
        </w:rPr>
        <w:t>Verrijkt model, in beginsel 2005–2023.</w:t>
      </w:r>
      <w:r>
        <w:rPr>
          <w:rFonts w:ascii="Arial" w:hAnsi="Arial" w:eastAsia="Arial"/>
        </w:rPr>
        <w:t xml:space="preserve"> Binnen de feitelijke overlap kan stikstof worden toegevoegd. Landgebruik en ruimtelijke momentopnamen worden alleen overeenkomstig hun werkelijke meetjaren gebruikt.</w:t>
      </w:r>
    </w:p>
    <w:p>
      <w:pPr>
        <w:keepLines w:val="0"/>
      </w:pPr>
      <w:r>
        <w:rPr>
          <w:rFonts w:ascii="Arial" w:hAnsi="Arial" w:eastAsia="Arial"/>
        </w:rPr>
        <w:t>Een korter model is geen vervanging van de lange vogelreeks. Het beantwoordt een rijkere vraag over een kortere periode.</w:t>
      </w:r>
    </w:p>
    <w:p>
      <w:pPr>
        <w:pStyle w:val="Heading1"/>
      </w:pPr>
      <w:r>
        <w:rPr>
          <w:rFonts w:ascii="Arial" w:hAnsi="Arial" w:eastAsia="Arial"/>
        </w:rPr>
        <w:t>Reproduceerbaarheid per uitvoering</w:t>
      </w:r>
    </w:p>
    <w:p>
      <w:pPr>
        <w:keepLines w:val="0"/>
      </w:pPr>
      <w:r>
        <w:rPr>
          <w:rFonts w:ascii="Arial" w:hAnsi="Arial" w:eastAsia="Arial"/>
        </w:rPr>
        <w:t>Iedere formele uitvoering krijgt een eigen identificatie en legt vast:</w:t>
      </w:r>
    </w:p>
    <w:p>
      <w:pPr>
        <w:pStyle w:val="ListBullet"/>
        <w:keepLines/>
      </w:pPr>
      <w:r>
        <w:rPr>
          <w:rFonts w:ascii="Arial" w:hAnsi="Arial" w:eastAsia="Arial"/>
        </w:rPr>
        <w:t>uitvoerdatum en Git-commit;</w:t>
      </w:r>
    </w:p>
    <w:p>
      <w:pPr>
        <w:pStyle w:val="ListBullet"/>
        <w:keepLines/>
      </w:pPr>
      <w:r>
        <w:rPr>
          <w:rFonts w:ascii="Arial" w:hAnsi="Arial" w:eastAsia="Arial"/>
        </w:rPr>
        <w:t>databaseschema en controleerbare databasevingerafdruk;</w:t>
      </w:r>
    </w:p>
    <w:p>
      <w:pPr>
        <w:pStyle w:val="ListBullet"/>
        <w:keepLines/>
      </w:pPr>
      <w:r>
        <w:rPr>
          <w:rFonts w:ascii="Arial" w:hAnsi="Arial" w:eastAsia="Arial"/>
        </w:rPr>
        <w:t>alle berekende uitkomsten, inclusief nulbevindingen, inhoudelijk niet betekenisvolle uitkomsten en modeluitval, telkens met gegevensverzameling, aantal, periode en modelstatus;</w:t>
      </w:r>
    </w:p>
    <w:p>
      <w:pPr>
        <w:pStyle w:val="ListBullet"/>
        <w:keepLines/>
      </w:pPr>
      <w:r>
        <w:rPr>
          <w:rFonts w:ascii="Arial" w:hAnsi="Arial" w:eastAsia="Arial"/>
        </w:rPr>
        <w:t>gebruikte tabellen, views, perioden en filters;</w:t>
      </w:r>
    </w:p>
    <w:p>
      <w:pPr>
        <w:pStyle w:val="ListBullet"/>
        <w:keepLines/>
      </w:pPr>
      <w:r>
        <w:rPr>
          <w:rFonts w:ascii="Arial" w:hAnsi="Arial" w:eastAsia="Arial"/>
        </w:rPr>
        <w:t>aantallen regels, soorten, plots en plotjaren na iedere selectie;</w:t>
      </w:r>
    </w:p>
    <w:p>
      <w:pPr>
        <w:pStyle w:val="ListBullet"/>
        <w:keepLines/>
      </w:pPr>
      <w:r>
        <w:rPr>
          <w:rFonts w:ascii="Arial" w:hAnsi="Arial" w:eastAsia="Arial"/>
        </w:rPr>
        <w:t>bron-, nul- en afkeurstatussen;</w:t>
      </w:r>
    </w:p>
    <w:p>
      <w:pPr>
        <w:pStyle w:val="ListBullet"/>
        <w:keepLines/>
      </w:pPr>
      <w:r>
        <w:rPr>
          <w:rFonts w:ascii="Arial" w:hAnsi="Arial" w:eastAsia="Arial"/>
        </w:rPr>
        <w:t>groepsdefinities en traitversies;</w:t>
      </w:r>
    </w:p>
    <w:p>
      <w:pPr>
        <w:pStyle w:val="ListBullet"/>
        <w:keepLines/>
      </w:pPr>
      <w:r>
        <w:rPr>
          <w:rFonts w:ascii="Arial" w:hAnsi="Arial" w:eastAsia="Arial"/>
        </w:rPr>
        <w:t>modelformules, pakketversies en toevalszaad;</w:t>
      </w:r>
    </w:p>
    <w:p>
      <w:pPr>
        <w:pStyle w:val="ListBullet"/>
        <w:keepLines/>
      </w:pPr>
      <w:r>
        <w:rPr>
          <w:rFonts w:ascii="Arial" w:hAnsi="Arial" w:eastAsia="Arial"/>
        </w:rPr>
        <w:t>trainings- en validatiesplitsingen;</w:t>
      </w:r>
    </w:p>
    <w:p>
      <w:pPr>
        <w:pStyle w:val="ListBullet"/>
        <w:keepLines/>
      </w:pPr>
      <w:r>
        <w:rPr>
          <w:rFonts w:ascii="Arial" w:hAnsi="Arial" w:eastAsia="Arial"/>
        </w:rPr>
        <w:t>convergentiewaarschuwingen en mislukte modellen;</w:t>
      </w:r>
    </w:p>
    <w:p>
      <w:pPr>
        <w:pStyle w:val="ListBullet"/>
        <w:keepLines/>
      </w:pPr>
      <w:r>
        <w:rPr>
          <w:rFonts w:ascii="Arial" w:hAnsi="Arial" w:eastAsia="Arial"/>
        </w:rPr>
        <w:t>geproduceerde tabellen en figuren;</w:t>
      </w:r>
    </w:p>
    <w:p>
      <w:pPr>
        <w:pStyle w:val="ListBullet"/>
        <w:keepLines/>
      </w:pPr>
      <w:r>
        <w:rPr>
          <w:rFonts w:ascii="Arial" w:hAnsi="Arial" w:eastAsia="Arial"/>
        </w:rPr>
        <w:t>gevolgen voor de conclusies en het artikel.</w:t>
      </w:r>
    </w:p>
    <w:p>
      <w:pPr>
        <w:keepLines w:val="0"/>
      </w:pPr>
      <w:r>
        <w:rPr>
          <w:rFonts w:ascii="Arial" w:hAnsi="Arial" w:eastAsia="Arial"/>
        </w:rPr>
        <w:t>Een andere onderzoeker moet daarmee de analyse op hoofdlijnen kunnen herhalen zonder afhankelijk te zijn van mondelinge toelichting. Toegang tot de levende brondata blijft vanzelfsprekend nodig om de getallen exact te reproduceren.</w:t>
      </w:r>
    </w:p>
    <w:p>
      <w:pPr>
        <w:pStyle w:val="Heading1"/>
      </w:pPr>
      <w:r>
        <w:rPr>
          <w:rFonts w:ascii="Arial" w:hAnsi="Arial" w:eastAsia="Arial"/>
        </w:rPr>
        <w:t>Stand van de uitkomsten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8"/>
              </w:rPr>
              <w:t>Onderdeel</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8"/>
              </w:rPr>
              <w:t>Status</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24455F"/>
          </w:tcPr>
          <w:p>
            <w:pPr>
              <w:spacing w:after="0" w:line="245" w:lineRule="auto"/>
            </w:pPr>
            <w:r>
              <w:rPr>
                <w:rFonts w:ascii="Arial" w:hAnsi="Arial" w:eastAsia="Arial"/>
                <w:b/>
                <w:color w:val="FFFFFF"/>
                <w:sz w:val="18"/>
              </w:rPr>
              <w:t>Vastgestelde uitkomst</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Bronnen en Natura 2000-scope</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Vastgesteld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M66 en M91 vallen standaard buiten de plotgebonden analyse.</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Bronafhankelijke nulregels</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Geïmplementeerd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Letterlijke SOVON-nul, lege cel, afgeleide jaarverslagnul en formele afkeur blijven onderscheiden.</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Functionele groepen</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Beschikbaar</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Zes goedgekeurde groepen met primaire, secundaire en gewogen koppeling.</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Ecologische groepen</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Beschikbaar</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51 EVG-groepen; hoofdanalyse begint met acht brede groepen.</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Habitatgroepen</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Beschikbaar</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Acht habitattypen; analysevarianten sterk en sterk plus matig.</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Continue vogelkenmerken</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Beschikbaar</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23 goedgekeurde kenmerken; zestien gevuld voor alle 156 positieve soorten.</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Teller- en ervaringsmodel</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Teller/tellerteam blijft als random effect in volgende modellen; ervaring in dezelfde plot en elders blijven afzonderlijke doorlopende correcties. De effecten worden per analyse opnieuw geschat en veranderen de brongegevens niet.</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Voorspellend vogelmodel met drie brede PQ-maten</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Duidelijke verschillen tussen plots, maar geen duidelijke gemiddelde binnen-plotreactie. De tijdsvalidatie verbetert bescheiden; de ruimtelijke winst blijft tussen maten en blokken gemengd. Met deze drie maten is geen bestendige extra voorspellende waarde over zowel nieuwe plots als latere jaren aangetoond.</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Volledige PQ-samenstelling</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Drie assen verklaren samen 27,8%. De ruimtelijke voorspelling verbetert in vier van vijf plotblokken; beide tijdsblokken worden iets slechter.</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IPI-habitatproxy</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Bescheiden ruimtelijke winst in drie van vier geldige plotblokken; geen tijdswinst en geen duidelijke gemiddelde binnen-plotreactie.</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Landbedekking 2001/2022</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Uitgevoerd; rasterstructuur beschikbaar</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Duidelijkste ruimtelijke signaal voor watervogels. Voor andere groepen is de winst gemengd of de numerieke validatie te instabiel. De ontvangen rasters voegen voor 25 plots vlakgrootte, versnippering, randen en landschapsdiversiteit toe; twee kaartmomenten leveren geen algemeen model van vogelverandering.</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t>Representativiteit PQ’s binnen kaartplots</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t>Uitgevoerd; geen algemeen gewogen model</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r>
              <w:t>In 2001 liggen 82 bruikbare PQ’s in 18 van 25 plots en in 2022 100 in 19 plots. Klassen met minstens één PQ beslaan per plot mediaan 47,2% en 58,4% van het oppervlak; de spreiding binnen die klassen is niet getoetst. Weging corrigeert scheefheid tussen bemonsterde klassen, maar vult ontbrekende klassen niet aan.</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Vegetatiehoogte en gerichte habitatgroepen</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AHN2–AHN5 leveren 220 geharmoniseerde structuurregels voor 55 plots en vier momenten, 2008–2023. De tijdstoets is nu uitvoerbaar, maar alleen het boomgroepmodel slaagt numeriek; de winst is 0,0024 logscorepunt en niet robuust voor het weglaten van een soort. AHN1/1997–1998 is wegens sterke methodegevoeligheid alleen experimenteel. Geen model gaat door naar power.</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Jaarlijkse RGB/CIR-luchtfoto's</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Proef uitgevoerd; niet toegelaten</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Tien beelden uit 2016, 2020, 2022, 2023 en 2024 zijn voor 53 Natura 2000-plots onderzocht. De onafhankelijke overdracht 2020–2023 behaalt macro-F1 0,420–0,469 en blijft onder 0,60; normalisatie en textuur verbeteren dit niet. De rasters van 2001 en 2022 missen de oorspronkelijke trainings- en validatiereferenties en maken daarvan geen jaarlijkse reeks.</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Weer</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In gerichte modellen verwerkt</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Dagweer uit 1958–2025 is samengevat als wintertemperatuur, vorstdagen, voorjaarstemperatuur en voorjaarsneerslag. Dit zijn correcties en mogelijke verklaringen, geen afzonderlijk bewijs van een weereffect.</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Stikstof en CBS-landgebruik</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Stikstof gebruikt 60.127 soort–plot–jaarrijen, 674 plotjaren, 51 plots en 2005–2023; CBS-landgebruik 15.039 rijen, 168 plotjaren, 49 plots en vier kaartjaren uit 2010–2022. Stikstof laat een verschil tussen plots zien, maar geen gemiddelde binnen-plotreactie. Van twaalf volledige modellen zijn er vier geldig; van 36 validaties twaalf. Geen tijdstoets slaagt en geen model gaat door naar power.</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HYVEG, MODAK en PROBE</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Brononderzoek 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MODAK blijkt een haalbaarheidsstudie uit 2003. PROBE is een actuele vegetatiemodellenfamilie, maar de huidige Meijendel-database mist de volledige invoer voor PROBE-1. De PROBE-3-proef voor droog duin gebruikte 30 veldproefvlakken en modelleerde juist voor deze analyse belangrijke processen als begrazing, konijnen en vertraagde respons niet. Geen PROBE-run of poweranalyse uitgevoerd.</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Niet-lineaire vertraagde PQ–vogelrelaties</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Hoofdmodel en gebeurtenisanalyse uitgevoerd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Het hoofdmodel gebruikt 650 unieke vogelplotjaren in 35 plots over 1994–2025 en maximaal veertien jaar vertraging. Van 34 uitkomsten blijven drie territoriumrelaties als voorspellende kandidaat over. Hun langere effectintervallen omvatten één en de gebeurtenisanalyse bevestigt de richting niet. Geen causale conclusie.</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Poweranalyse</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Eerste formele uitvoering afgerond</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DF3F6"/>
          </w:tcPr>
          <w:p>
            <w:pPr>
              <w:spacing w:after="0" w:line="245" w:lineRule="auto"/>
            </w:pPr>
            <w:r>
              <w:rPr>
                <w:rFonts w:ascii="Arial" w:hAnsi="Arial" w:eastAsia="Arial"/>
                <w:color w:val="000000"/>
                <w:sz w:val="18"/>
              </w:rPr>
              <w:t>De zes geschatte richting-specifieke effecten hebben 25,5–41,0% power. De historische detectiegrens ligt bij 35–65% verandering in territoriumaantal op veertien jaar vertraging.</w:t>
            </w:r>
          </w:p>
        </w:tc>
      </w:tr>
      <w:tr>
        <w:trPr>
          <w:cantSplit/>
        </w:trPr>
        <w:tc>
          <w:tcPr>
            <w:tcW w:type="dxa" w:w="20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Artikel</w:t>
            </w:r>
          </w:p>
        </w:tc>
        <w:tc>
          <w:tcPr>
            <w:tcW w:type="dxa" w:w="18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Nog te schrijven</w:t>
            </w:r>
          </w:p>
        </w:tc>
        <w:tc>
          <w:tcPr>
            <w:tcW w:type="dxa" w:w="600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pPr>
            <w:r>
              <w:rPr>
                <w:rFonts w:ascii="Arial" w:hAnsi="Arial" w:eastAsia="Arial"/>
                <w:color w:val="000000"/>
                <w:sz w:val="18"/>
              </w:rPr>
              <w:t>Alleen doel, structuur en vereiste bewijsroute zijn vastgesteld.</w:t>
            </w:r>
          </w:p>
        </w:tc>
      </w:tr>
    </w:tbl>
    <w:p>
      <w:pPr>
        <w:spacing w:after="20"/>
      </w:pPr>
    </w:p>
    <w:p>
      <w:pPr>
        <w:pStyle w:val="Heading1"/>
      </w:pPr>
      <w:r>
        <w:rPr>
          <w:rFonts w:ascii="Arial" w:hAnsi="Arial" w:eastAsia="Arial"/>
        </w:rPr>
        <w:t>Betekenis voor het latere artikel</w:t>
      </w:r>
    </w:p>
    <w:p>
      <w:pPr>
        <w:keepLines w:val="0"/>
      </w:pPr>
      <w:r>
        <w:rPr>
          <w:rFonts w:ascii="Arial" w:hAnsi="Arial" w:eastAsia="Arial"/>
        </w:rPr>
        <w:t>De eerste formele poweranalyse is uitgevoerd voor de drie overgebleven territoriumrelaties. Het artikel moet nu niet alleen melden welke relaties zijn gevonden, maar ook:</w:t>
      </w:r>
    </w:p>
    <w:p>
      <w:pPr>
        <w:pStyle w:val="ListBullet"/>
        <w:keepLines/>
      </w:pPr>
      <w:r>
        <w:rPr>
          <w:rFonts w:ascii="Arial" w:hAnsi="Arial" w:eastAsia="Arial"/>
        </w:rPr>
        <w:t>hoeveel beter het model buiten de schattingsgegevens voorspelt;</w:t>
      </w:r>
    </w:p>
    <w:p>
      <w:pPr>
        <w:pStyle w:val="ListBullet"/>
        <w:keepLines/>
      </w:pPr>
      <w:r>
        <w:rPr>
          <w:rFonts w:ascii="Arial" w:hAnsi="Arial" w:eastAsia="Arial"/>
        </w:rPr>
        <w:t>of een relatie vooral verschillen tussen plots of veranderingen binnen plots betreft;</w:t>
      </w:r>
    </w:p>
    <w:p>
      <w:pPr>
        <w:pStyle w:val="ListBullet"/>
        <w:keepLines/>
      </w:pPr>
      <w:r>
        <w:rPr>
          <w:rFonts w:ascii="Arial" w:hAnsi="Arial" w:eastAsia="Arial"/>
        </w:rPr>
        <w:t>welke soorten of groepen een vergelijkbaar dan wel afwijkend patroon tonen;</w:t>
      </w:r>
    </w:p>
    <w:p>
      <w:pPr>
        <w:pStyle w:val="ListBullet"/>
        <w:keepLines/>
      </w:pPr>
      <w:r>
        <w:rPr>
          <w:rFonts w:ascii="Arial" w:hAnsi="Arial" w:eastAsia="Arial"/>
        </w:rPr>
        <w:t>welke veranderingen de meetopzet niet betrouwbaar kon detecteren;</w:t>
      </w:r>
    </w:p>
    <w:p>
      <w:pPr>
        <w:pStyle w:val="ListBullet"/>
        <w:keepLines/>
      </w:pPr>
      <w:r>
        <w:rPr>
          <w:rFonts w:ascii="Arial" w:hAnsi="Arial" w:eastAsia="Arial"/>
        </w:rPr>
        <w:t>welke gegevensbeperkingen de interpretatie begrenzen.</w:t>
      </w:r>
    </w:p>
    <w:p>
      <w:pPr>
        <w:keepLines w:val="0"/>
      </w:pPr>
      <w:r>
        <w:rPr>
          <w:rFonts w:ascii="Arial" w:hAnsi="Arial" w:eastAsia="Arial"/>
        </w:rPr>
        <w:t>Bij het schrijven worden het dan geldende Natuurbeheerplan Zuid-Holland, het Natura 2000-beheerplan Meijendel &amp; Berkheide en de actuele beheerinvulling van Dunea opnieuw geraadpleegd. Vastgesteld beleid, beheerambitie, feitelijke maatregel en ecologische interpretatie blijven onderscheiden.</w:t>
      </w:r>
    </w:p>
    <w:sectPr w:rsidR="00FC693F" w:rsidRPr="0006063C" w:rsidSect="00034616">
      <w:headerReference w:type="default" r:id="rId9"/>
      <w:footerReference w:type="default" r:id="rId10"/>
      <w:pgSz w:w="12240" w:h="15840"/>
      <w:pgMar w:top="1037" w:right="1181" w:bottom="979"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7"/>
      </w:rPr>
      <w:t>Analyse broedvogels vegetatie en power in Meijendel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3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data">
    <w:name w:val="Document metadata"/>
    <w:pPr>
      <w:spacing w:after="60"/>
    </w:pPr>
    <w:rPr>
      <w:rFonts w:ascii="Arial" w:hAnsi="Arial"/>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docs/MEIJENDEL_BRONREGISTER.md" TargetMode="External"/><Relationship Id="rId12" Type="http://schemas.openxmlformats.org/officeDocument/2006/relationships/hyperlink" Target="../../DECISIONS.md" TargetMode="External"/><Relationship Id="rId13" Type="http://schemas.openxmlformats.org/officeDocument/2006/relationships/hyperlink" Target="../../R/meijendel_cache_contrac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broedvogels vegetatie en power in Meijendel</dc:title>
  <dc:subject>Hoofdlijnen, uitkomsten en executive summary</dc:subject>
  <dc:creator>Ton Lansink</dc:creator>
  <cp:keywords>Meijendel, broedvogels, PQ, vegetatie, teller, poweranalyse</cp:keywords>
  <dc:description>Gegenereerd uit het leidende Markdown-hoofddocument</dc:description>
  <cp:lastModifiedBy/>
  <cp:revision>1</cp:revision>
  <dcterms:created xsi:type="dcterms:W3CDTF">2013-12-23T23:15:00Z</dcterms:created>
  <dcterms:modified xsi:type="dcterms:W3CDTF">2013-12-23T23:15:00Z</dcterms:modified>
  <cp:category/>
</cp:coreProperties>
</file>