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t>Stand: 20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w:t>
      </w:r>
      <w:r>
        <w:t xml:space="preserve"> </w:t>
      </w:r>
      <w:hyperlink r:id="rId11">
        <w:r>
          <w:rPr>
            <w:rStyle w:val="Hyperlink"/>
          </w:rPr>
          <w:t xml:space="preserve">www.synbiosys.alterra.nl/turboveg/</w:t>
        </w:r>
      </w:hyperlink>
      <w:r>
        <w:t xml:space="preserve">,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2" w:name="_4a53154a1633e588416373f70b0c468114c0efc"/>
      <w:r>
        <w:t xml:space="preserve">Overkoepelende analysegeschiktheid</w:t>
      </w:r>
      <w:bookmarkEnd w:id="12"/>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3" w:name="_beheerregel"/>
      <w:r>
        <w:t xml:space="preserve">Beheerregel</w:t>
      </w:r>
      <w:bookmarkEnd w:id="13"/>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4" w:name="_c07dfd40f027bce65d2d0499dc5da8ab7f6fd0f"/>
      <w:r>
        <w:t xml:space="preserve">1. Bronnen in MySQL-database</w:t>
      </w:r>
      <w:r>
        <w:t xml:space="preserve"> </w:t>
      </w:r>
      <w:r>
        <w:rPr>
          <w:rStyle w:val="VerbatimChar"/>
        </w:rPr>
        <w:t xml:space="preserve">Meijendel</w:t>
      </w:r>
      <w:bookmarkEnd w:id="14"/>
    </w:p>
    <w:p>
      <w:pPr>
        <w:pStyle w:val="Heading3"/>
      </w:pPr>
      <w:bookmarkStart w:id="15" w:name="_32ab8fbd5be08d3f325e2553cd15813ff7e9c1f"/>
      <w:r>
        <w:t xml:space="preserve">1.1. Vogelgegevens van Vogelwerkgroep Meijendel en SOVON</w:t>
      </w:r>
      <w:bookmarkEnd w:id="15"/>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de registratie van teller/tellerteam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twee of meer tellers blijft een plotjaar een tellerteamregistratie.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teller/tellerteam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6" w:name="_9645acbfea6b379f23d12aeedc36c987000825a"/>
      <w:r>
        <w:t xml:space="preserve">1.2. Provinciale permanente kwadraten</w:t>
      </w:r>
      <w:bookmarkEnd w:id="16"/>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binnen de huidige provinciale bronversie en primaire bron, maar nog niet de afgeronde, door CBS gecontroleerde levering.</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Gebruik van de volledige PQ-samenstelling, 11 oktober 2026.</w:t>
      </w:r>
      <w:r>
        <w:t xml:space="preserve"> </w:t>
      </w:r>
      <w:r>
        <w:t xml:space="preserve">Voor de</w:t>
      </w:r>
      <w:r>
        <w:t xml:space="preserve"> </w:t>
      </w:r>
      <w:r>
        <w:t xml:space="preserve">broedvogel–vegetatieanalyse zijn 1.314 van de 2.007 provinciale opnamen aan 35</w:t>
      </w:r>
      <w:r>
        <w:t xml:space="preserve"> </w:t>
      </w:r>
      <w:r>
        <w:t xml:space="preserve">actieve Natura 2000-vogelplots gekoppeld. Zij vormen 501 PQ-plotjaren en</w:t>
      </w:r>
      <w:r>
        <w:t xml:space="preserve"> </w:t>
      </w:r>
      <w:r>
        <w:t xml:space="preserve">bevatten 642 van de 714 centrale taxa over 1981–2025. Een</w:t>
      </w:r>
      <w:r>
        <w:t xml:space="preserve"> </w:t>
      </w:r>
      <w:r>
        <w:t xml:space="preserve">Hellinger-transformatie en drie compositieassen vatten 27,8% van de variatie</w:t>
      </w:r>
      <w:r>
        <w:t xml:space="preserve"> </w:t>
      </w:r>
      <w:r>
        <w:t xml:space="preserve">samen. In de vogeloverlap van 37.140 soort–plot–jaarrijen, 406 vogelplotjaren,</w:t>
      </w:r>
      <w:r>
        <w:t xml:space="preserve"> </w:t>
      </w:r>
      <w:r>
        <w:t xml:space="preserve">35 plots en 154 soorten over 1989–2025 verbeteren deze assen de ruimtelijke</w:t>
      </w:r>
      <w:r>
        <w:t xml:space="preserve"> </w:t>
      </w:r>
      <w:r>
        <w:t xml:space="preserve">voorspelling in vier van vijf plotblokken, maar niet de voorspelling van latere</w:t>
      </w:r>
      <w:r>
        <w:t xml:space="preserve"> </w:t>
      </w:r>
      <w:r>
        <w:t xml:space="preserve">jaren in twee tijdsblokken. De uitkomst maakt de provinciale PQ-reeks</w:t>
      </w:r>
      <w:r>
        <w:t xml:space="preserve"> </w:t>
      </w:r>
      <w:r>
        <w:t xml:space="preserve">bruikbaarder voor ruimtelijke habitatverschillen, maar levert nog geen</w:t>
      </w:r>
      <w:r>
        <w:t xml:space="preserve"> </w:t>
      </w:r>
      <w:r>
        <w:t xml:space="preserve">voorspellende relatie tussen vegetatieverandering en vogelverandering.</w:t>
      </w:r>
      <w:r>
        <w:t xml:space="preserve"> </w:t>
      </w: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BodyText"/>
      </w:pPr>
      <w:r>
        <w:rPr>
          <w:b/>
          <w:bCs/>
        </w:rPr>
        <w:t xml:space="preserve">Bronbericht provincie, vastgelegd 19 oktober 2026.</w:t>
      </w:r>
      <w:r>
        <w:t xml:space="preserve"> </w:t>
      </w:r>
      <w:r>
        <w:t xml:space="preserve">Ingrid de Vries bevestigt dat de provinciale vegetatiemeetnetgegevens in NDFF onvolledig zijn. Zij noemt geen aantal ontbrekende opnamen, jaren of oorzaak per record: de hierboven beschreven matchpercentages meten die onvolledigheid niet. Provincie Zuid-Holland controleert met CBS de historische vegetatiemeetnetgegevens, waaronder de eerder gemelde wisselende coördinaten en niet meer actieve PQ's. Na de controle wil de provincie de gecorrigeerde gegevens bij NDFF onderbrengen en Ton een nieuwe provinciale levering geven. Deze leveringen zijn nog niet ontvangen. Ingrid werkt bij de provincie aan het NDFF-databeheer, zit namens de provincies in de NDFF-kwaliteitscommissie en neemt deel aan de programmalijn Data &amp; IV van het Verbeterprogramma VHR-monitoring; haar collega's nemen eveneens deel aan dat programma. De bestaande provinciale reeks van 254 PQ's, 2.007 opnamen en 53.122 taxonregels uit 1981–2025 blijft intussen de primaire, als huidige bronversie herkenbare analysetabel.</w:t>
      </w:r>
    </w:p>
    <w:p>
      <w:pPr>
        <w:pStyle w:val="BodyText"/>
      </w:pPr>
      <w:r>
        <w:t xml:space="preserve">Ruimtelijke herbeoordeling voor het getekende Helmduinen-planvlak, 17 oktober 2026. Van de provinciale PQ-bron liggen elf opnamen met 286 soortregels op opgeslagen punten binnen de benaderde contour: zeven opnamen van PQ 1083463022 uit 2002–2023 en vier van PQ 1083463172 uit 1994–2000. Beide locatiegroepen zijn als Duinstruweel geregistreerd. De zeven opnamen van PQ 1083463172 uit 2003–2023 hebben andere coördinaten, circa 56,1 meter van de eerdere positie en 14,8 meter buiten het getekende vlak. Correctie van coördinaten versus verplaatsing is niet vastgesteld; deze reeks mag daarom niet zonder meer als één doorlopende binnen-vlakreeks worden gebruikt. De drie nabije natte-vallei-PQ’s 1083463672, 1083463603 en 1083463109 liggen circa 21–41 meter buiten het vlak en blijven uitsluitend nabije systeemcontext.</w:t>
      </w:r>
    </w:p>
    <w:p>
      <w:pPr>
        <w:pStyle w:val="BodyText"/>
      </w:pPr>
      <w:r>
        <w:t xml:space="preserve">De nominale LVD-selectie voor hetzelfde vlak bevat negentien events en 479 resultaatregels uit 1994–2014, waarvan 339 een bekende overlapmarkering hebben. De dertien afgescheiden bronopnamen hebben zelfstandig_meetellen=0. Zij zijn niet bij de provinciale soortregels opgeteld. Bij twee LVD-events uit 2010 ligt het punt circa 5,5 meter van de planrand, bij tien meter opgegeven coördinaatonzekerheid. Die events zijn niet met hun volledige onzekerheidsgebied aantoonbaar binnen. Dit is een bronbeoordeling voor een benaderde plancontour, geen wijziging van broncoördinaten of analytische toelating.</w:t>
      </w:r>
    </w:p>
    <w:p>
      <w:pPr>
        <w:pStyle w:val="Heading3"/>
      </w:pPr>
      <w:bookmarkStart w:id="17" w:name="_58edaa7a0159e378417d8d9e2f3abf27d746f4f"/>
      <w:r>
        <w:t xml:space="preserve">1.3. Zoogdieren tijdens SOVON- en VWG-bezoeken</w:t>
      </w:r>
      <w:bookmarkEnd w:id="17"/>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8" w:name="_d3fb9a25da94fa35cd3895c324ae264efa6b6ce"/>
      <w:r>
        <w:t xml:space="preserve">1.4. Historisch vangblikonderzoek</w:t>
      </w:r>
      <w:bookmarkEnd w:id="18"/>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9">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20" w:name="_05a7f9ed9696b113895f0c60145ad70b98b3ccf"/>
      <w:r>
        <w:t xml:space="preserve">1.5. NDFF: één canonieke laag van openbare en beveiligde gegevens</w:t>
      </w:r>
      <w:bookmarkEnd w:id="20"/>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1" w:name="_f2f5e1637d9b0d825d88db49318fbe09fe4562d"/>
      <w:r>
        <w:t xml:space="preserve">1.5.1. Dagvlinders</w:t>
      </w:r>
      <w:bookmarkEnd w:id="21"/>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2" w:name="_ab588a339567fbeba82f7ca9f0ef20022ceaf38"/>
      <w:r>
        <w:t xml:space="preserve">1.5.2. Hommels</w:t>
      </w:r>
      <w:bookmarkEnd w:id="22"/>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3" w:name="_5eeebc0b3ea39369efcb9361b685b51ab379390"/>
      <w:r>
        <w:t xml:space="preserve">1.5.3. Libellen</w:t>
      </w:r>
      <w:bookmarkEnd w:id="23"/>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BodyText"/>
      </w:pPr>
      <w:r>
        <w:rPr>
          <w:b/>
          <w:bCs/>
        </w:rPr>
        <w:t xml:space="preserve">Selectie voor bezoekanalyses, 17 oktober 2026.</w:t>
      </w:r>
      <w:r>
        <w:t xml:space="preserve"> </w:t>
      </w:r>
      <w:r>
        <w:t xml:space="preserve">Gebruik</w:t>
      </w:r>
      <w:r>
        <w:t xml:space="preserve"> </w:t>
      </w:r>
      <w:r>
        <w:rPr>
          <w:rStyle w:val="VerbatimChar"/>
        </w:rPr>
        <w:t xml:space="preserve">ndff-libellen-selectie-v1</w:t>
      </w:r>
      <w:r>
        <w:t xml:space="preserve"> </w:t>
      </w:r>
      <w:r>
        <w:t xml:space="preserve">via</w:t>
      </w:r>
      <w:r>
        <w:t xml:space="preserve"> </w:t>
      </w:r>
      <w:r>
        <w:rPr>
          <w:rStyle w:val="VerbatimChar"/>
        </w:rPr>
        <w:t xml:space="preserve">--selecteer-libellen</w:t>
      </w:r>
      <w:r>
        <w:t xml:space="preserve"> </w:t>
      </w:r>
      <w:r>
        <w:t xml:space="preserve">in</w:t>
      </w:r>
      <w:r>
        <w:t xml:space="preserve"> </w:t>
      </w:r>
      <w:r>
        <w:rPr>
          <w:rStyle w:val="VerbatimChar"/>
        </w:rPr>
        <w:t xml:space="preserve">gis/scripts/import_ndff_protocolkwaliteit.py</w:t>
      </w:r>
      <w:r>
        <w:t xml:space="preserve">. De selectie wordt opnieuw berekend uit de levende database, voor analysetype</w:t>
      </w:r>
      <w:r>
        <w:t xml:space="preserve"> </w:t>
      </w:r>
      <w:r>
        <w:rPr>
          <w:rStyle w:val="VerbatimChar"/>
        </w:rPr>
        <w:t xml:space="preserve">TV</w:t>
      </w:r>
      <w:r>
        <w:t xml:space="preserve"> </w:t>
      </w:r>
      <w:r>
        <w:t xml:space="preserve">of</w:t>
      </w:r>
      <w:r>
        <w:t xml:space="preserve"> </w:t>
      </w:r>
      <w:r>
        <w:rPr>
          <w:rStyle w:val="VerbatimChar"/>
        </w:rPr>
        <w:t xml:space="preserve">TA</w:t>
      </w:r>
      <w:r>
        <w:t xml:space="preserve">. Alleen een gereconstrueerd algemeen routebezoek waarvan alle bronrecords</w:t>
      </w:r>
      <w:r>
        <w:t xml:space="preserve"> </w:t>
      </w:r>
      <w:r>
        <w:rPr>
          <w:rStyle w:val="VerbatimChar"/>
        </w:rPr>
        <w:t xml:space="preserve">voorlopig_bruikbaar</w:t>
      </w:r>
      <w:r>
        <w:t xml:space="preserve"> </w:t>
      </w:r>
      <w:r>
        <w:t xml:space="preserve">zijn, binnen</w:t>
      </w:r>
      <w:r>
        <w:t xml:space="preserve"> </w:t>
      </w:r>
      <w:r>
        <w:rPr>
          <w:rStyle w:val="VerbatimChar"/>
        </w:rPr>
        <w:t xml:space="preserve">meijendel_natura2000</w:t>
      </w:r>
      <w:r>
        <w:t xml:space="preserve"> </w:t>
      </w:r>
      <w:r>
        <w:t xml:space="preserve">vallen en het gekozen analysetype toestaan, wordt met zijn volledige bestaande taxonmatrix doorgegeven. Ontbrekende of dubbele bron-/analysekoppelingen, afwijkende bezoekaantallen, plots zonder scopestatus en ontbrekende centrale taxonkoppelingen blokkeren de selectie. Taxa zonder soortgroep blijven bereikbaar.</w:t>
      </w:r>
    </w:p>
    <w:p>
      <w:pPr>
        <w:pStyle w:val="BodyText"/>
      </w:pPr>
      <w:r>
        <w:t xml:space="preserve">De controle van de 3.280 bronrecords en 461 bezoeken uit 2007–2021 selecteert 98 bezoeken met 515 bronrecords uit 2010–2021. Hun bestaande matrix bevat 2.842 regels: 353 positieve combinaties en 2.489 afgeleide nullen. De 73 gedeeltelijk toegelaten bezoeken uit 2010–2020 en de 290 geheel uitgesloten bezoeken uit 2007–2020 worden niet als volledige matrix doorgegeven. De afzonderlijk toegelaten positieve records uit gedeeltelijke bezoeken blijven beschikbaar als voorkomensinformatie via de bestaande NDFF-analyseview. De selectie bewaart</w:t>
      </w:r>
      <w:r>
        <w:t xml:space="preserve"> </w:t>
      </w:r>
      <w:r>
        <w:rPr>
          <w:rStyle w:val="VerbatimChar"/>
        </w:rPr>
        <w:t xml:space="preserve">gegevensgeschiktheid</w:t>
      </w:r>
      <w:r>
        <w:t xml:space="preserve">,</w:t>
      </w:r>
      <w:r>
        <w:t xml:space="preserve"> </w:t>
      </w:r>
      <w:r>
        <w:rPr>
          <w:rStyle w:val="VerbatimChar"/>
        </w:rPr>
        <w:t xml:space="preserve">kwaliteitsmelding</w:t>
      </w:r>
      <w:r>
        <w:t xml:space="preserve">, het nulbewijs en de centrale taxonverwijzing. Zij bevestigt geen gevalideerde trend of afwezigheid. Er zijn geen records, bestaande nullen of analysebesluiten gewijzigd en geen extra tabellen of views gemaakt.</w:t>
      </w:r>
    </w:p>
    <w:p>
      <w:pPr>
        <w:pStyle w:val="BodyText"/>
      </w:pPr>
      <w:r>
        <w:t xml:space="preserve">De alleen-lezen T7-controle van 17 oktober 2026 vond in de gecontroleerde gegevensmap en archiefinhoud geen afzonderlijke Vlinderstichting-levering. Alle 3.280 libellenregels uit 2007–2021 in de stagingdataset komen op identificatie, periode, taxonnaam, aantal en protocol overeen met de levende database. De beveiligde NDFF-levering van 14.573 records uit 1950–2025 bevat geen</w:t>
      </w:r>
      <w:r>
        <w:t xml:space="preserve"> </w:t>
      </w:r>
      <w:r>
        <w:rPr>
          <w:rStyle w:val="VerbatimChar"/>
        </w:rPr>
        <w:t xml:space="preserve">07.201</w:t>
      </w:r>
      <w:r>
        <w:t xml:space="preserve">-records en geen gevuld</w:t>
      </w:r>
      <w:r>
        <w:t xml:space="preserve"> </w:t>
      </w:r>
      <w:r>
        <w:rPr>
          <w:rStyle w:val="VerbatimChar"/>
        </w:rPr>
        <w:t xml:space="preserve">sessionid</w:t>
      </w:r>
      <w:r>
        <w:t xml:space="preserve">. Deze controle sluit een levering elders niet uit; de oorspronkelijke route- en bezoekadministratie is hiermee niet verkregen.</w:t>
      </w:r>
    </w:p>
    <w:p>
      <w:pPr>
        <w:pStyle w:val="BodyText"/>
      </w:pPr>
      <w:r>
        <w:t xml:space="preserve">De dekkingscontrole van 17 oktober 2026 verdeelt deze 98 bezoeken uit 2010–2021 over zes gereconstrueerde routefamilies; 2016, 2018 en 2019 ontbreken in deze selectie en gelden niet als nuljaren. Routefamilie 3 in M16 bevat 56 bezoeken uit 2010–2015. Daarbinnen vormen 36 bezoeken met 156 bronrecords uit juni–augustus een eerste beschrijvende vergelijking: elk jaar zes bezoeken, twee per maand. De 1.044 matrixregels bevatten 103 positieve combinaties voor elf taxa en 941 bestaande afgeleide nullen; achttien van de 29 taxa hebben geen positieve registratie in deze deelreeks. Dit bewijst geen afwezigheid of populatietrend. In M74 vallen 28 geselecteerde bezoeken uit 2020–2021 op veertien gedeelde plot-datums; zonder oorspronkelijke routeadministratie worden zij niet als bewezen onafhankelijke herhalingen opgeteld. De volledige dekking en alle 29 taxonuitkomsten staan in de protocolaudit. De kwaliteitsstatus blijft niet_beoordeeld.</w:t>
      </w:r>
    </w:p>
    <w:p>
      <w:pPr>
        <w:pStyle w:val="Heading4"/>
      </w:pPr>
      <w:bookmarkStart w:id="24" w:name="_f7f75bff85528639d3a54437d815ffc982ac078"/>
      <w:r>
        <w:t xml:space="preserve">1.5.4. Nachtvlinders</w:t>
      </w:r>
      <w:bookmarkEnd w:id="24"/>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5" w:name="_5952ec78f96e716985cfd2bef0c6dea751da098"/>
      <w:r>
        <w:t xml:space="preserve">1.5.5. Amfibieën</w:t>
      </w:r>
      <w:bookmarkEnd w:id="25"/>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6" w:name="_f98973ac0b4b22a8147264cf6fda7ae2d1f2584"/>
      <w:r>
        <w:t xml:space="preserve">1.5.6. Reptielen</w:t>
      </w:r>
      <w:bookmarkEnd w:id="26"/>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7" w:name="_9ffbbed58a474302bc88f9b6483937563542adc"/>
      <w:r>
        <w:t xml:space="preserve">1.5.7. Vissen</w:t>
      </w:r>
      <w:bookmarkEnd w:id="27"/>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8" w:name="_90b1412457ba2ad39675de54e16fb4052a9af96"/>
      <w:r>
        <w:t xml:space="preserve">1.5.8. Vleermuistransecten</w:t>
      </w:r>
      <w:bookmarkEnd w:id="28"/>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9" w:name="_0bf7c6d2026ffa63b6182a76ed7ab201ef2ca1a"/>
      <w:r>
        <w:t xml:space="preserve">1.5.9. Konijnentellingen in de duinen</w:t>
      </w:r>
      <w:bookmarkEnd w:id="29"/>
    </w:p>
    <w:p>
      <w:pPr>
        <w:pStyle w:val="FirstParagraph"/>
      </w:pPr>
      <w:r>
        <w:t>Omvang en periode. 5.809 protocolrecords uit 1984–2023: 5.095 Konijnrecords en 714 bijvangsten. De 812 kalenderdatums bewijzen geen 812 oorspronkelijke telbezoeken; route- en sectienummers ontbreken.</w:t>
      </w:r>
    </w:p>
    <w:p>
      <w:pPr>
        <w:pStyle w:val="BodyText"/>
      </w:pPr>
      <w:r>
        <w:t>Wat kan nu? Broncontext van de zelfstandige konijnentellingen. Alle aangeleverde kilometerhokken raken meerdere kavels; de records zijn niet toegelaten als exact gelokaliseerde kavelwaarnemingen.</w:t>
      </w:r>
    </w:p>
    <w:p>
      <w:pPr>
        <w:pStyle w:val="BodyText"/>
      </w:pPr>
      <w:r>
        <w:t>Wat ontbreekt voor zelfstandige trends? De oorspronkelijke route- en sectiekoppeling en volledige bezoekstructuur. De huidige levering stopt in 2023 en biedt geen vergelijking met 2024–2025. Zes Konijnrecords hebben bovendien een mogelijke overlap met protocol 17.204; gelijke telwaarden zijn geen bewijs van dubbeling.</w:t>
      </w:r>
    </w:p>
    <w:p>
      <w:pPr>
        <w:pStyle w:val="Heading4"/>
      </w:pPr>
      <w:bookmarkStart w:id="30" w:name="_d64910a2091f56dedd2aaa5a75994d38ec4c969"/>
      <w:r>
        <w:t xml:space="preserve">1.5.10. Wintertellingen vleermuizen</w:t>
      </w:r>
      <w:bookmarkEnd w:id="30"/>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1" w:name="_9cec44656db08bd57f600992eaa74a526d260b3"/>
      <w:r>
        <w:t xml:space="preserve">1.5.11. Het Nieuwe Strepen</w:t>
      </w:r>
      <w:bookmarkEnd w:id="31"/>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2" w:name="_c056d2025de29c95bc511421c5f5e41469354eb"/>
      <w:r>
        <w:t xml:space="preserve">1.5.12. FLORBASE en andere vaatplantinventarisaties</w:t>
      </w:r>
      <w:bookmarkEnd w:id="32"/>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3" w:name="_b2fbeb28e0a334b9e6cb93232c4d845faf48221"/>
      <w:r>
        <w:t xml:space="preserve">1.5.13. LMF-aandachtssoorten</w:t>
      </w:r>
      <w:bookmarkEnd w:id="33"/>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4" w:name="_0ce2ec4e8b5503e251897e5490450ca2d9e0742"/>
      <w:r>
        <w:t xml:space="preserve">1.5.14. Mossen en korstmossen</w:t>
      </w:r>
      <w:bookmarkEnd w:id="34"/>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5" w:name="_339fafe251367982d6218746f16721a93fa7f70"/>
      <w:r>
        <w:t xml:space="preserve">1.5.15. Bos- en zeereeppaddenstoelen</w:t>
      </w:r>
      <w:bookmarkEnd w:id="35"/>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6" w:name="_342bae7ae5afae546f17223888206446d449411"/>
      <w:r>
        <w:t xml:space="preserve">1.5.16. Weekdieren</w:t>
      </w:r>
      <w:bookmarkEnd w:id="36"/>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7" w:name="_cc11e4dda0fa9b87cf2613be17ff277804bdc91"/>
      <w:r>
        <w:t xml:space="preserve">1.5.17. SNL-gebiedsmonitoring</w:t>
      </w:r>
      <w:bookmarkEnd w:id="37"/>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8" w:name="_77733873953f7250a44afc39ac6f33e9c0fface"/>
      <w:r>
        <w:t xml:space="preserve">1.6. Openbare externe ecologiebronnen</w:t>
      </w:r>
      <w:bookmarkEnd w:id="38"/>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9">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40">
        <w:r>
          <w:rPr>
            <w:rStyle w:val="Hyperlink"/>
          </w:rPr>
          <w:t xml:space="preserve">het taxonregister</w:t>
        </w:r>
      </w:hyperlink>
      <w:r>
        <w:t xml:space="preserve">.</w:t>
      </w:r>
    </w:p>
    <w:p>
      <w:pPr>
        <w:pStyle w:val="Heading4"/>
      </w:pPr>
      <w:bookmarkStart w:id="41" w:name="_aa03dabe850e534118471d9a4587f103d7cc6d0"/>
      <w:r>
        <w:t xml:space="preserve">1.6.1. STOWA Limnodata</w:t>
      </w:r>
      <w:bookmarkEnd w:id="41"/>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2" w:name="_e9b446960bca12075cdde30af1cbaf73f645a87"/>
      <w:r>
        <w:t xml:space="preserve">1.6.2. ENDURE helmduinfauna</w:t>
      </w:r>
      <w:bookmarkEnd w:id="42"/>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3" w:name="_0079604d46da30ac9b5828c2b6c106eff7cd8f8"/>
      <w:r>
        <w:t xml:space="preserve">1.6.3. Landelijke Vegetatie Databank</w:t>
      </w:r>
      <w:bookmarkEnd w:id="43"/>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t xml:space="preserve">Hercontrole op 17 oktober 2026 bevestigt voor de LVD-levering uit 1959–2015 dezelfde 3.437 toegelaten opnamen met 81.310 resultaten en dezelfde 654 mogelijke provinciale opnameparen. De resterende LVD-laag bevat 2.793 opnamen met 64.683 resultaten; ook de geneste opnamekenmerken bevatten geen vaste PQ- of bovenliggende locatie-identificatie. De twee niet-verplaatste nabijheidskandidaten blijven zonder bewijs van gedeelde PQ-identiteit: LVD-event 40650 uit 2011 heeft één resultaat tegenover 26 in provinciale opname 1915; LVD-event 43406 uit 2013 en provinciale opname 1026 hebben elk één resultaat, maar verschillende taxonnamen of bedekkingscodes. Geen van beide paren heeft een gelijke volledige lijst. De 644 eerder verplaatste LVD-opnamen uit 1981–2015 behouden hun 652 vermoedelijke koppelingen en tellen niet zelfstandig mee. Deze hercontrole onderbouwt geen aanvullende PQ-verplaatsing; er zijn geen bronregels of koppelstatussen gewijzigd.</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4" w:name="_a66e2be297c2cf82b37e3e4b59e101c55a2b789"/>
      <w:r>
        <w:t xml:space="preserve">1.6.4. Historische vlinder- en motcollectie</w:t>
      </w:r>
      <w:bookmarkEnd w:id="44"/>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5" w:name="_0623f0a4d9ecb153e84d6aa679ad58f6c310383"/>
      <w:r>
        <w:t xml:space="preserve">1.6.5. Naturalis Botany</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6" w:name="_dd278617f9613de433492781e9679e24605d2f3"/>
      <w:r>
        <w:t xml:space="preserve">1.6.6. Naturalis Coleoptera</w:t>
      </w:r>
      <w:bookmarkEnd w:id="46"/>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7" w:name="_4dcded00268e6461b0ddc34253d4faf52bf1dd1"/>
      <w:r>
        <w:t xml:space="preserve">1.7. Openstaande ruimtelijke toelatingscontrole</w:t>
      </w:r>
      <w:bookmarkEnd w:id="47"/>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8" w:name="_14c58f11b78e283997281ebde92c6b31ebc0c80"/>
      <w:r>
        <w:t xml:space="preserve">1.8. Verklarende omgevingslagen</w:t>
      </w:r>
      <w:bookmarkEnd w:id="48"/>
    </w:p>
    <w:p>
      <w:pPr>
        <w:pStyle w:val="FirstParagraph"/>
      </w:pPr>
      <w:r>
        <w:t xml:space="preserve">Deze gegevens zijn geen soortenwaarnemingen. Zij kunnen wel helpen om ecologische veranderingen te beschrijven of als mogelijke verklaring te toetsen.</w:t>
      </w:r>
    </w:p>
    <w:p>
      <w:pPr>
        <w:pStyle w:val="Heading4"/>
      </w:pPr>
      <w:bookmarkStart w:id="49" w:name="_97e37a83ef92e6db79e0a815abf4c3d8d6d1754"/>
      <w:r>
        <w:t xml:space="preserve">1.8.1. Dagelijks weer</w:t>
      </w:r>
      <w:bookmarkEnd w:id="49"/>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levende database op 11 oktober 2026.</w:t>
      </w:r>
      <w:r>
        <w:t xml:space="preserve"> </w:t>
      </w:r>
      <w:r>
        <w:t xml:space="preserve">24.837</w:t>
      </w:r>
      <w:r>
        <w:t xml:space="preserve"> </w:t>
      </w:r>
      <w:r>
        <w:t xml:space="preserve">dagregels, 1 januari 1958 tot en met 31 december 2025.</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De huidige reeks eindigt met het volledige kalenderjaar 2025.</w:t>
      </w:r>
    </w:p>
    <w:p>
      <w:pPr>
        <w:pStyle w:val="Heading4"/>
      </w:pPr>
      <w:bookmarkStart w:id="50" w:name="_625608f018b59d28869e33232003bd07c2f07d5"/>
      <w:r>
        <w:t xml:space="preserve">1.8.2. Hoogte</w:t>
      </w:r>
      <w:bookmarkEnd w:id="50"/>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De huidige tabel beschrijft maaiveldhoogte en</w:t>
      </w:r>
      <w:r>
        <w:t xml:space="preserve"> </w:t>
      </w:r>
      <w:r>
        <w:t xml:space="preserve">hoogtevariatie per plot. Eén peiljaar geeft geen ontwikkeling door de tijd en</w:t>
      </w:r>
      <w:r>
        <w:t xml:space="preserve"> </w:t>
      </w:r>
      <w:r>
        <w:t xml:space="preserve">een DTM meet geen vegetatiehoogte.</w:t>
      </w:r>
    </w:p>
    <w:p>
      <w:pPr>
        <w:pStyle w:val="BodyText"/>
      </w:pPr>
      <w:r>
        <w:t xml:space="preserve">Voor de vogel–vegetatieanalyse is daarnaast een reproduceerbare proxy uit</w:t>
      </w:r>
      <w:r>
        <w:t xml:space="preserve"> </w:t>
      </w:r>
      <w:r>
        <w:t xml:space="preserve">AHN2, AHN3, AHN4 en AHN5 afgeleid. Deze analyse-uitvoer bevat 220 regels: 55</w:t>
      </w:r>
      <w:r>
        <w:t xml:space="preserve"> </w:t>
      </w:r>
      <w:r>
        <w:t xml:space="preserve">plots voor de structuurmomenten 2008, 2014, 2020 en 2023, telkens DSM minus</w:t>
      </w:r>
      <w:r>
        <w:t xml:space="preserve"> </w:t>
      </w:r>
      <w:r>
        <w:t xml:space="preserve">DTM op hetzelfde tweemetergrid. Vastgelegd zijn hoogteverdeling, aandelen open</w:t>
      </w:r>
      <w:r>
        <w:t xml:space="preserve"> </w:t>
      </w:r>
      <w:r>
        <w:t xml:space="preserve">terrein, lage vegetatie, struweel en bomen en randlengte per hectare. Pixels</w:t>
      </w:r>
      <w:r>
        <w:t xml:space="preserve"> </w:t>
      </w:r>
      <w:r>
        <w:t xml:space="preserve">boven 45 meter zijn als niet-vegetatieve uitbijter uitgesloten. De afgeleide</w:t>
      </w:r>
      <w:r>
        <w:t xml:space="preserve"> </w:t>
      </w:r>
      <w:r>
        <w:t xml:space="preserve">waarden en de controles op bronhashes, rastergelijkheid, volledigheid en</w:t>
      </w:r>
      <w:r>
        <w:t xml:space="preserve"> </w:t>
      </w:r>
      <w:r>
        <w:t xml:space="preserve">overgangen staan onder</w:t>
      </w:r>
      <w:r>
        <w:t xml:space="preserve"> </w:t>
      </w:r>
      <w:r>
        <w:rPr>
          <w:rStyle w:val="VerbatimChar"/>
        </w:rPr>
        <w:t xml:space="preserve">analyses/broedvogel_vegetatie_power/resultaten/</w:t>
      </w:r>
      <w:r>
        <w:t xml:space="preserve">. Zij zijn niet als primaire</w:t>
      </w:r>
      <w:r>
        <w:t xml:space="preserve"> </w:t>
      </w:r>
      <w:r>
        <w:t xml:space="preserve">bronmeting in de levende database opgenomen. De vier cycli maken een</w:t>
      </w:r>
      <w:r>
        <w:t xml:space="preserve"> </w:t>
      </w:r>
      <w:r>
        <w:t xml:space="preserve">historische tijdstoets mogelijk; in vier vogelgroepmodellen slaagde alleen de</w:t>
      </w:r>
      <w:r>
        <w:t xml:space="preserve"> </w:t>
      </w:r>
      <w:r>
        <w:t xml:space="preserve">boomgroeptoets numeriek en die leverde geen robuuste voorspellingswinst.</w:t>
      </w:r>
    </w:p>
    <w:p>
      <w:pPr>
        <w:pStyle w:val="BodyText"/>
      </w:pPr>
      <w:r>
        <w:t xml:space="preserve">AHN1 uit 1997–1998 is afzonderlijk beoordeeld op 55 plots. Tien historische</w:t>
      </w:r>
      <w:r>
        <w:t xml:space="preserve"> </w:t>
      </w:r>
      <w:r>
        <w:t xml:space="preserve">grond- en niet-grondbestanden leveren binnen het analysevenster 12.318.672</w:t>
      </w:r>
      <w:r>
        <w:t xml:space="preserve"> </w:t>
      </w:r>
      <w:r>
        <w:t xml:space="preserve">punten. Op het gekozen vijfmeterraster heeft 68,17% van 1.663.416 cellen een</w:t>
      </w:r>
      <w:r>
        <w:t xml:space="preserve"> </w:t>
      </w:r>
      <w:r>
        <w:t xml:space="preserve">grondpunt en 71,36% enig punt. Twee verdedigbare DSM-afleidingen verschillen</w:t>
      </w:r>
      <w:r>
        <w:t xml:space="preserve"> </w:t>
      </w:r>
      <w:r>
        <w:t xml:space="preserve">gemiddeld 48,0 procentpunt in open terrein, 14,0 procentpunt in bomen en 4,81</w:t>
      </w:r>
      <w:r>
        <w:t xml:space="preserve"> </w:t>
      </w:r>
      <w:r>
        <w:t xml:space="preserve">meter in de 95e hoogtepercentiel. AHN1 blijft daarom een experimentele</w:t>
      </w:r>
      <w:r>
        <w:t xml:space="preserve"> </w:t>
      </w:r>
      <w:r>
        <w:t xml:space="preserve">gevoeligheidsanalyse en is niet als vergelijkbaar vijfde moment aan AHN2–AHN5</w:t>
      </w:r>
      <w:r>
        <w:t xml:space="preserve"> </w:t>
      </w:r>
      <w:r>
        <w:t xml:space="preserve">toegevoegd.</w:t>
      </w:r>
    </w:p>
    <w:p>
      <w:pPr>
        <w:pStyle w:val="Heading4"/>
      </w:pPr>
      <w:bookmarkStart w:id="51" w:name="_8ebc62c1d17a2d7a08504bddffeeb5916a0bcb3"/>
      <w:r>
        <w:t xml:space="preserve">1.8.3. Stikstofdepositie</w:t>
      </w:r>
      <w:bookmarkEnd w:id="51"/>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De bron is op 12 oktober 2026 formeel gekoppeld aan de</w:t>
      </w:r>
      <w:r>
        <w:t xml:space="preserve"> </w:t>
      </w:r>
      <w:r>
        <w:t xml:space="preserve">broedvogelreeks. Na toepassing van de Natura 2000-scope en de geldige</w:t>
      </w:r>
      <w:r>
        <w:t xml:space="preserve"> </w:t>
      </w:r>
      <w:r>
        <w:t xml:space="preserve">vogelselectie bevat het stikstofmodel 60.127 soort–plot–jaarrijen uit 674</w:t>
      </w:r>
      <w:r>
        <w:t xml:space="preserve"> </w:t>
      </w:r>
      <w:r>
        <w:t xml:space="preserve">plotjaren in 51 plots, voor 155 soorten en 2005–2023. Het model corrigeert</w:t>
      </w:r>
      <w:r>
        <w:t xml:space="preserve"> </w:t>
      </w:r>
      <w:r>
        <w:t xml:space="preserve">tevens voor tijd, oppervlakte, bron, teller/tellerteam, geregistreerde</w:t>
      </w:r>
      <w:r>
        <w:t xml:space="preserve"> </w:t>
      </w:r>
      <w:r>
        <w:t xml:space="preserve">ervaring, bezoekinspanning, ongunstige bezoeksomstandigheden en vier</w:t>
      </w:r>
      <w:r>
        <w:t xml:space="preserve"> </w:t>
      </w:r>
      <w:r>
        <w:t xml:space="preserve">weermaten. Het verschil tussen plots is een factor 1,157 per</w:t>
      </w:r>
      <w:r>
        <w:t xml:space="preserve"> </w:t>
      </w:r>
      <w:r>
        <w:t xml:space="preserve">standaardafwijking hogere gemiddelde depositie; het verband tussen verandering</w:t>
      </w:r>
      <w:r>
        <w:t xml:space="preserve"> </w:t>
      </w:r>
      <w:r>
        <w:t xml:space="preserve">in depositie en verandering in vogelaantallen binnen dezelfde plot is 1,002,</w:t>
      </w:r>
      <w:r>
        <w:t xml:space="preserve"> </w:t>
      </w:r>
      <w:r>
        <w:t xml:space="preserve">met p = 0,924. Slechts één van vijf ruimtelijke validatieblokken is numeriek</w:t>
      </w:r>
      <w:r>
        <w:t xml:space="preserve"> </w:t>
      </w:r>
      <w:r>
        <w:t xml:space="preserve">geldig en dat voorspelt slechter; de tijdstoets op 2019–2023 valt numeriek uit.</w:t>
      </w:r>
      <w:r>
        <w:t xml:space="preserve"> </w:t>
      </w:r>
      <w:r>
        <w:t xml:space="preserve">De bron blijft geschikt als mogelijke verklarende factor, maar levert in deze</w:t>
      </w:r>
      <w:r>
        <w:t xml:space="preserve"> </w:t>
      </w:r>
      <w:r>
        <w:t xml:space="preserve">modelopzet geen bestendig voorspelmodel van vogelverandering en gaat niet door</w:t>
      </w:r>
      <w:r>
        <w:t xml:space="preserve"> </w:t>
      </w:r>
      <w:r>
        <w:t xml:space="preserve">naar power. Een samenhang bewijst bovendien niet dat stikstof de enige oorzaak</w:t>
      </w:r>
      <w:r>
        <w:t xml:space="preserve"> </w:t>
      </w:r>
      <w:r>
        <w:t xml:space="preserve">is.</w:t>
      </w:r>
    </w:p>
    <w:p>
      <w:pPr>
        <w:pStyle w:val="Heading4"/>
      </w:pPr>
      <w:bookmarkStart w:id="52" w:name="_972156668716d33d6f7bf93cdaf573c7928edca"/>
      <w:r>
        <w:t xml:space="preserve">1.8.4. Bodemgebruik</w:t>
      </w:r>
      <w:bookmarkEnd w:id="52"/>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De bron bevat vijf kaartmomenten: 1996, 2010, 2015, 2017</w:t>
      </w:r>
      <w:r>
        <w:t xml:space="preserve"> </w:t>
      </w:r>
      <w:r>
        <w:t xml:space="preserve">en 2022. De codes van 1996 zijn niet inhoudelijk aan de latere klassen</w:t>
      </w:r>
      <w:r>
        <w:t xml:space="preserve"> </w:t>
      </w:r>
      <w:r>
        <w:t xml:space="preserve">geharmoniseerd en zijn daarom niet stilzwijgend in het vogelmodel opgenomen.</w:t>
      </w:r>
      <w:r>
        <w:t xml:space="preserve"> </w:t>
      </w:r>
      <w:r>
        <w:t xml:space="preserve">Na toepassing van de Natura 2000-scope en de geldige vogelselectie gebruiken</w:t>
      </w:r>
      <w:r>
        <w:t xml:space="preserve"> </w:t>
      </w:r>
      <w:r>
        <w:t xml:space="preserve">de modellen voor open natuurlijk terrein, bos en water 15.039</w:t>
      </w:r>
      <w:r>
        <w:t xml:space="preserve"> </w:t>
      </w:r>
      <w:r>
        <w:t xml:space="preserve">soort–plot–jaarrijen uit 168 plotjaren in 49 plots, voor 155 soorten en de vier</w:t>
      </w:r>
      <w:r>
        <w:t xml:space="preserve"> </w:t>
      </w:r>
      <w:r>
        <w:t xml:space="preserve">kaartjaren 2010–2022. In de vijf analyses waarin landgebruik voorkomt zijn van</w:t>
      </w:r>
      <w:r>
        <w:t xml:space="preserve"> </w:t>
      </w:r>
      <w:r>
        <w:t xml:space="preserve">de tien volledige basis- en omgevingsmodellen twee geldig; geen modelpaar is</w:t>
      </w:r>
      <w:r>
        <w:t xml:space="preserve"> </w:t>
      </w:r>
      <w:r>
        <w:t xml:space="preserve">aan beide zijden geldig. Van dertig validaties zijn er elf geldig en negentien</w:t>
      </w:r>
      <w:r>
        <w:t xml:space="preserve"> </w:t>
      </w:r>
      <w:r>
        <w:t xml:space="preserve">ongeldig. Bos verbetert de logscore in vier van vier geldige ruimtelijke</w:t>
      </w:r>
      <w:r>
        <w:t xml:space="preserve"> </w:t>
      </w:r>
      <w:r>
        <w:t xml:space="preserve">blokken en water in</w:t>
      </w:r>
      <w:r>
        <w:t xml:space="preserve"> </w:t>
      </w:r>
      <w:r>
        <w:t xml:space="preserve">twee van twee, maar geen van de vijf tijdstoetsen slaagt. De bron kan dus</w:t>
      </w:r>
      <w:r>
        <w:t xml:space="preserve"> </w:t>
      </w:r>
      <w:r>
        <w:t xml:space="preserve">ruimtelijke verschillen tussen plots helpen beschrijven, maar levert in deze</w:t>
      </w:r>
      <w:r>
        <w:t xml:space="preserve"> </w:t>
      </w:r>
      <w:r>
        <w:t xml:space="preserve">modelopzet geen bestendig voorspelmodel van vogelverandering en gaat niet door</w:t>
      </w:r>
      <w:r>
        <w:t xml:space="preserve"> </w:t>
      </w:r>
      <w:r>
        <w:t xml:space="preserve">naar power. De kaartmomenten zijn niet jaarlijks beschikbaar.</w:t>
      </w:r>
    </w:p>
    <w:p>
      <w:pPr>
        <w:pStyle w:val="Heading4"/>
      </w:pPr>
      <w:bookmarkStart w:id="53" w:name="_92770fc640c1bb2fd0ffeda71d68ce2650b46be"/>
      <w:r>
        <w:t xml:space="preserve">1.8.5. Natura 2000-habitat</w:t>
      </w:r>
      <w:bookmarkEnd w:id="53"/>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BodyText"/>
      </w:pPr>
      <w:r>
        <w:t xml:space="preserve">Aanvullende broncontrole habitatpolygonen, 17 oktober 2026. Op de T7 is de bestaande shapefile Natura_2000_Habitattypen_Den_Haag aangetroffen onder /Volumes/T7 Data/Home_Ton/Meijendel data/Habitat/Natura_2000_Habitattypen_Den_Haag-shp/. De levering telt 12.072 bronfeatures in RD New. De gemeentelijke datasetpublicatie Natura 2000 Den Haag noemt Provincie Zuid-Holland als bron en CC0 als licentie; de geselecteerde lokale records noemen Van der Goes en Groot, Alterra &amp; Prov. Z-Holland. De gemeentelijke metadata zijn bijgewerkt op 26 maart 2026. Dat is geen bewezen terrein- of karteringsdatum en bewijst geen byte-identiteit tussen de lokale levering en de huidige webdienst. De inhoudsrelatie met de 384 plot-habitatregels met jaarlabel 2014 is niet versiegebonden vastgesteld.</w:t>
      </w:r>
    </w:p>
    <w:p>
      <w:pPr>
        <w:pStyle w:val="BodyText"/>
      </w:pPr>
      <w:r>
        <w:t xml:space="preserve">Voor het getekende natuurherstelvlak binnen het noordelijke deel van Helmduinen zijn 85 kaartvlakken doorsneden; alle geselecteerde DATUM-velden zijn leeg en alle sommen van de habitatdeelpercentages zijn 100%. Mengpercentages gewogen over de geknipte oppervlakten leveren indicatief 7,460 hectare H2160, 3,729 hectare H2130A, 0,679 hectare H0000, 0,244 hectare H2190B en 0,062 hectare H2120. Het samengevoegde kaartoppervlak is 121.740,713 m² tegenover 121.740,722 m² voor de benaderde plancontour. Dit is bruikbare habitatkaartcontext voor de afweging van struweelverwijdering; geen aangetoonde habitattoestand in oktober 2026 of te realiseren projectoppervlakte. De polygonen zijn niet aan de levende database toegevoegd. De lokale bronhash, 85 geknipte records en controleberekening staan in de afzonderlijke bewijsbundel bij het herziene werkbezoekdossier.</w:t>
      </w:r>
    </w:p>
    <w:p>
      <w:pPr>
        <w:pStyle w:val="Heading4"/>
      </w:pPr>
      <w:bookmarkStart w:id="54" w:name="_db7eb24e1743be4ba71117664c27cd530984820"/>
      <w:r>
        <w:t xml:space="preserve">1.8.6. Jaarlijks luchtfotobeeld</w:t>
      </w:r>
      <w:bookmarkEnd w:id="54"/>
    </w:p>
    <w:p>
      <w:pPr>
        <w:pStyle w:val="FirstParagraph"/>
      </w:pPr>
      <w:r>
        <w:rPr>
          <w:b/>
          <w:bCs/>
        </w:rPr>
        <w:t xml:space="preserve">Eigenaar.</w:t>
      </w:r>
      <w:r>
        <w:t xml:space="preserve"> </w:t>
      </w:r>
      <w:r>
        <w:t xml:space="preserve">Beeldmateriaal Nederland, ontsloten via PDOK en het landelijke</w:t>
      </w:r>
      <w:r>
        <w:t xml:space="preserve"> </w:t>
      </w:r>
      <w:r>
        <w:t xml:space="preserve">downloadportaal.</w:t>
      </w:r>
    </w:p>
    <w:p>
      <w:pPr>
        <w:pStyle w:val="BodyText"/>
      </w:pPr>
      <w:r>
        <w:rPr>
          <w:b/>
          <w:bCs/>
        </w:rPr>
        <w:t xml:space="preserve">Omvang en periode.</w:t>
      </w:r>
      <w:r>
        <w:t xml:space="preserve"> </w:t>
      </w:r>
      <w:r>
        <w:t xml:space="preserve">Kandidaatbron, niet in de levende database opgenomen.</w:t>
      </w:r>
      <w:r>
        <w:t xml:space="preserve"> </w:t>
      </w:r>
      <w:r>
        <w:t xml:space="preserve">De uitgevoerde proef gebruikt tien officiële WMS-beelden: RGB en CIR voor</w:t>
      </w:r>
      <w:r>
        <w:t xml:space="preserve"> </w:t>
      </w:r>
      <w:r>
        <w:t xml:space="preserve">2016, 2020, 2022, 2023 en 2024. Elk beeld is op het gedeelde AHN-rooster</w:t>
      </w:r>
      <w:r>
        <w:t xml:space="preserve"> </w:t>
      </w:r>
      <w:r>
        <w:t xml:space="preserve">samengesteld tot 3.440 bij 3.018 pixels van 2 meter. De brongeometrie bevat 55</w:t>
      </w:r>
      <w:r>
        <w:t xml:space="preserve"> </w:t>
      </w:r>
      <w:r>
        <w:t xml:space="preserve">vogelplots; na uitsluiting van M66 en M91 zijn 53 Natura 2000-plots</w:t>
      </w:r>
      <w:r>
        <w:t xml:space="preserve"> </w:t>
      </w:r>
      <w:r>
        <w:t xml:space="preserve">geanalyseerd. De officiële 25-centimeterlagen bevatten geen RGB/CIR-paar voor</w:t>
      </w:r>
      <w:r>
        <w:t xml:space="preserve"> </w:t>
      </w:r>
      <w:r>
        <w:t xml:space="preserve">2021.</w:t>
      </w:r>
    </w:p>
    <w:p>
      <w:pPr>
        <w:pStyle w:val="BodyText"/>
      </w:pPr>
      <w:r>
        <w:rPr>
          <w:b/>
          <w:bCs/>
        </w:rPr>
        <w:t xml:space="preserve">Gebruik en grens.</w:t>
      </w:r>
      <w:r>
        <w:t xml:space="preserve"> </w:t>
      </w:r>
      <w:r>
        <w:t xml:space="preserve">De beperkte classificatieproef is uitgevoerd. De ruwe</w:t>
      </w:r>
      <w:r>
        <w:t xml:space="preserve"> </w:t>
      </w:r>
      <w:r>
        <w:t xml:space="preserve">RGB/CIR-kenmerken behalen bij overdracht van 2020 naar 2023 macro-F1 0,469 en</w:t>
      </w:r>
      <w:r>
        <w:t xml:space="preserve"> </w:t>
      </w:r>
      <w:r>
        <w:t xml:space="preserve">in omgekeerde richting 0,420; beide blijven onder de vooraf gekozen grens van</w:t>
      </w:r>
      <w:r>
        <w:t xml:space="preserve"> </w:t>
      </w:r>
      <w:r>
        <w:t xml:space="preserve">0,60. Radiometrische normalisatie en beeldtextuur verbeteren dit niet. De</w:t>
      </w:r>
      <w:r>
        <w:t xml:space="preserve"> </w:t>
      </w:r>
      <w:r>
        <w:t xml:space="preserve">voorspelde houtige bedekking correleert in 24 afzonderlijk begrensde plots in</w:t>
      </w:r>
      <w:r>
        <w:t xml:space="preserve"> </w:t>
      </w:r>
      <w:r>
        <w:t xml:space="preserve">2022 wel met de onafhankelijke landbedekking, 0,743 tot 0,869, maar de</w:t>
      </w:r>
      <w:r>
        <w:t xml:space="preserve"> </w:t>
      </w:r>
      <w:r>
        <w:t xml:space="preserve">gemiddelde absolute fout blijft 10,2 tot 10,6 procentpunt. De op 19 oktober</w:t>
      </w:r>
      <w:r>
        <w:t xml:space="preserve"> </w:t>
      </w:r>
      <w:r>
        <w:t xml:space="preserve">2026 ontvangen classificatierasters geven voor 2001 en 2022 wel</w:t>
      </w:r>
      <w:r>
        <w:t xml:space="preserve"> </w:t>
      </w:r>
      <w:r>
        <w:t xml:space="preserve">pixelreferenties, maar de oorspronkelijke trainingspolygonen en 125</w:t>
      </w:r>
      <w:r>
        <w:t xml:space="preserve"> </w:t>
      </w:r>
      <w:r>
        <w:t xml:space="preserve">validatiepunten ontbreken. Het raster van 2022 is bovendien uit beeld van dat</w:t>
      </w:r>
      <w:r>
        <w:t xml:space="preserve"> </w:t>
      </w:r>
      <w:r>
        <w:t xml:space="preserve">jaar afgeleid en vormt geen onafhankelijke validatie van hetzelfde beeld. De</w:t>
      </w:r>
      <w:r>
        <w:t xml:space="preserve"> </w:t>
      </w:r>
      <w:r>
        <w:t xml:space="preserve">kandidaatbron wordt daarom niet analyseklaar verklaard en niet tot een</w:t>
      </w:r>
      <w:r>
        <w:t xml:space="preserve"> </w:t>
      </w:r>
      <w:r>
        <w:t xml:space="preserve">jaarlijkse reeks uitgebreid. Een vervolg vereist onafhankelijke referenties</w:t>
      </w:r>
      <w:r>
        <w:t xml:space="preserve"> </w:t>
      </w:r>
      <w:r>
        <w:t xml:space="preserve">voor meer beeldjaren. Luchtfoto's meten geen vegetatiehoogte, maken AHN1 niet</w:t>
      </w:r>
      <w:r>
        <w:t xml:space="preserve"> </w:t>
      </w:r>
      <w:r>
        <w:t xml:space="preserve">vergelijkbaar en mogen niet rechtstreeks als causale verklaring van</w:t>
      </w:r>
      <w:r>
        <w:t xml:space="preserve"> </w:t>
      </w:r>
      <w:r>
        <w:t xml:space="preserve">vogelverandering worden gebruikt.</w:t>
      </w:r>
    </w:p>
    <w:p>
      <w:pPr>
        <w:pStyle w:val="Heading3"/>
      </w:pPr>
      <w:bookmarkStart w:id="55" w:name="_f1f9cc3f4e7e57e7e99ffc1d85334cce67c3650"/>
      <w:r>
        <w:t xml:space="preserve">1.9. Werkzaamheden en beheermaatregelen</w:t>
      </w:r>
      <w:bookmarkEnd w:id="55"/>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rPr>
        <w:t>Omvang en periode.</w:t>
      </w:r>
      <w:r>
        <w:t xml:space="preserve"> De levende lokale database bevat op 20 oktober 2026 22 projecten, 55 bronnen, 91 uitvoeringen, 132 expliciete jaarbeoordelingen uit 1958–2026 en 132 uitvoering-bronrelaties. Van de jaarbeoordelingen zijn er 115 uitgevoerd, 10 niet_uitgevoerd en 7 onbekend. De uitvoering in Meeuwenduin en Prinsenduin is gesplitst: 2023 betreft beide naamgebieden; 2024 uitsluitend Prinsenduin. De eerdere historische invoer voegde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1958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6">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t>De onderstaande maatregelbeschrijving behoudt haar eerdere broncontext. De actuele stand van 20 oktober 2026 is zeven geometrieën, waaronder vier puntlocaties van uitzethokken; zie de konijnenbijplaatsingsproef hieronder. maatregel_uitvoering_gebied bevat twee veilige relaties: Voorlinden als locatie binnen het speciale gebied M91 en de in 1990 ingevoerde begrazing voor Kijfhoek en Bierlap als volledig benoemd gebied. De eerdere telling omvatte 211 geverifieerde directe relaties; de actuele telling van 20 oktober 2026 is 256.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 niet_uitgevoerd;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 doorsnijding_pct 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 sovon-avimap-2025-download-2026-10-02. Een doorsnijding bewijst dat het genoemde naamgebied de plot raakt, niet welk percentage van de plot feitelijk is bewerkt; doorsnijding_pct 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 doorsnijding_pct 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De konijnenbijplaatsingsproef bevat vanaf 20 oktober 2026 twee onderscheiden uitvoeringsregistraties. De bestaande registratie bewaart de door Dunea voor 2024 bevestigde pilot; de eerdere koppelingen aan M8 en M41 zijn herbeoordeeld als te_beoordelen en leveren geen geverifieerde plot-jaarrijen meer. De op 20 oktober 2026 door Ton gedeelde mail van Amy van Nobelen (Dunea; verzenddatum niet zichtbaar) noemt vier feitelijke uitzethokken. Beide punten met bronlabel Kijfhoek/Bierlap, locatie A, Kleine Pan liggen in M7; beide punten met bronlabel Loopert, locatie B, Waterschaps-vallei liggen in M45. De vier Google Maps-punten zijn afzonderlijk opgenomen in maatregel_geometrie, met oorspronkelijke link, WGS84-coördinaten en transformatie naar EPSG:28992. Het zijn punten, geen hokcontouren of effectgebieden; de positionele nauwkeurigheid is niet opgegeven. De nieuwe uitvoeringsregistratie heeft twee geverifieerde kavelrelaties en geen jaarregels. Daarmee wordt geen historisch uitzetjaar aan een huidig hok toegeschreven zonder bronbewijs. doorsnijding_pct en uitgezette aantallen blijven leeg.</w:t>
      </w:r>
    </w:p>
    <w:p>
      <w:pPr>
        <w:pStyle w:val="BodyText"/>
      </w:pPr>
      <w:r>
        <w:t>De naamcontrole van 20 oktober 2026 omvat alle 183 objecten in het levende namenregister. Kleine Pan en De Loopert hebben een brononderbouwde naam en een registerpolygoon, maar de A-hokken liggen respectievelijk 172,8 en 202,2 meter buiten de Kleine Pan-polygoon en de B-hokken 102,7 en 145,8 meter buiten de De Loopert-polygoon. Ook de Kijfhoek- en Bierlap-polygonen omvatten de A-punten niet. Loopert bestaat daarnaast als afzonderlijke historische naamvermelding zonder geometrie; die is niet met De Loopert samengevoegd. Waterschaps-vallei is aantoonbaar een planlabel in het activiteitenplan bij de ODH-beschikking van 28 augustus 2023, maar heeft geen afzonderlijk object in het lokale namenregister. De bronlabels worden behouden; zij wijzigen geen bestaande naamgrenzen. De relatie tussen de planlocaties en de feitelijke hokken, mogelijke verplaatsingen en de jaren van hokgebruik moeten nog uit het uitvoeringslogboek blijken.</w:t>
      </w:r>
    </w:p>
    <w:p>
      <w:pPr>
        <w:pStyle w:val="BodyText"/>
      </w:pPr>
      <w:r>
        <w:t>De eerdere conclusie dat de bijplaatsing pas in 2024 begon is gecorrigeerd. Dunea jaarverslag 2023, gedrukte pagina 37, bevestigt eerste overplaatsingen van de Maasvlakte in oktober 2023, zonder toedeling aan afzonderlijke hokken of aantallen. Het jaarverslag 2024 noemt eveneens een gestarte pilot en monitoring. De mail noemt letterlijk de afgelopen vier jaar, zonder deze in kalenderjaren te verdelen. Het activiteitenplan noemt beoogde uitzetmomenten en aantallen; die gelden niet als gerealiseerde hoeveelheden. De bestaande jaarregel 2024 blijft daarom behouden, maar er zijn geen nieuwe hok-jaarregels afgeleid. De actuele maatregellaag telt 22 projecten, 91 uitvoeringen, 132 jaarregels, 55 bronnen, 132 uitvoering-bronrelaties, 261 directe kavelrelaties waarvan 256 geverifieerd, zeven geometrieën en 355 bronvaste plot-jaarrijen. De toename bestaat uit één uitvoering, twee bronnen, drie uitvoering-bronrelaties, twee kavelrelaties en vier punten. De twee eerdere plot-jaarrijen voor de konijnenproef vallen na de ruimtelijke herbeoordeling uit de geverifieerde selectie.</w:t>
      </w:r>
    </w:p>
    <w:p>
      <w:pPr>
        <w:pStyle w:val="BodyText"/>
      </w:pPr>
      <w:r>
        <w:t>De heranalyse van 20 oktober 2026 heeft alle 128 centrale taxonroutes op Konijn (taxon_id=38949) doorzocht en onderscheidt drie bronlagen: 10.003 positieve SOVON/AVIMAP-regels uit 2009–2026, 1.787 aanvullend bewaarde positieve bezoektotalen uit SOVON-jaarbestanden 2005–2025 en 11.630 canonieke NDFF-Konijnrecords uit 1960–2025. De bezoektotalen zijn geen extra dieren naast de AVIMAP-punten: 1.562 totalen hebben een AVIMAP-tegenhanger, 225 betreffen 2005–2008. De twee primaire SOVON-producten stemmen in M7 en M45 bij de gemeenschappelijke bezoeken overeen. Voor M7 bevat het jaarbestand daarnaast op 6 juni 2006 een telling van twee konijnen. De twee secundaire NDFF/BMP-meldingen met ieder aantal één op 26 mei en 19 juni 2006 blijven herkenbaar als afzonderlijke historische positieve context; historische afgeleide nullen worden niet gebruikt. Geen van de overige centrale bronfamilies bevat aanvullende konijnenwaarnemingen.</w:t>
      </w:r>
    </w:p>
    <w:p>
      <w:pPr>
        <w:pStyle w:val="BodyText"/>
      </w:pPr>
      <w:r>
        <w:t>Van de 11.630 NDFF-records zijn 754 voorlopig bruikbaar voor geregistreerde aanwezigheid; na uitsluiting van één record in M66 blijven 753 records binnen de Natura 2000-analysescope: 751 losse meldingen en twee ObsIdentify-meldingen. Daarvan betreffen 724 regels levende dieren, vijftien dode dieren en veertien sporen of uitwerpselen. Deze categorieën en de meetnetten zijn niet tot één aantal dieren of trend opgeteld. De 5.095 Konijnrecords van het zelfstandige meetnet 17.209 uit 1984–2023 zijn alle ruimtelijk uitgesloten voor een gewone kavelanalyse. Rond Kijfhoek/Bierlap raken twee grove kilometerhokken de zoekzone van 500 meter, met 896 bronregels uit 1984–2022. Geen van die hokvlakken ligt geheel binnen de zoekzone en de exacte route of sectie ontbreekt. Rond Loopert raakt geen aangeleverd telhok de zone van 500 meter. Het meetnet levert daardoor in de huidige levering geen plaatsgebonden vergelijking vóór en na de uitzetting.</w:t>
      </w:r>
    </w:p>
    <w:p>
      <w:pPr>
        <w:pStyle w:val="BodyText"/>
      </w:pPr>
      <w:r>
        <w:t>De recente SOVON-uitkomsten blijven gelijk: in M7 zijn in 2024 en 2025 telkens tijdens twee van negen bezoeken met zoogdiermeldingen konijnen geregistreerd, steeds één dier; in M45 nul tijdens acht respectievelijk vijf van zulke bezoeken. In M45 ontbreekt bij vier van de zeventien BMP-rondes uit deze twee jaren bevestiging van zoogdierregistratie. De aanvullende bronnen veranderen wel de duiding van M7: daar is in mei 2023 al een losse melding van een levend konijn gedaan, vóór de eerste gedocumenteerde overplaatsingen in oktober 2023. In mei 2024 is nog één levend konijn buiten de BMP-rondes gemeld. De formulering hernieuwde aanwezigheid vanaf 2024 is daarom voor het gebied als geheel ingetrokken; zij beschreef alleen de eerdere BMP-selectie. Binnen 500 meter van locatie A zijn in 2024 twee BMP-regels en één aanvullende losse melding gevonden, in 2025 drie BMP-regels en geen aanvullende losse melding. Rond locatie B zijn in 2024–2025 geen voldoende precies gelokaliseerde konijnenmeldingen binnen die zone gevonden. Eén melding van een levend exemplaar uit 2025 heeft een vervaagd kilometerhok dat de B-zone gedeeltelijk raakt; ligging binnen de zone is daarmee niet bewezen.</w:t>
      </w:r>
    </w:p>
    <w:p>
      <w:pPr>
        <w:pStyle w:val="BodyText"/>
      </w:pPr>
      <w:r>
        <w:t>De geregistreerde afname vóór de uitzetting blijft zichtbaar, maar een uitzettingseffect is met de beschikbare gegevens niet aangetoond en ook niet uitgesloten. De onvolledige SOVON-jaargang 2026 blijft afzonderlijk; in M7 bevat die één konijnenmelding en binnen de A-zone twee. De volledige heranalyse, alle nuluitkomsten en ontbrekende dekking staan in docs/bronnen/audits/NDFF_PROTOCOLAUDIT.md, sectie Heranalyse met alle konijnenbronnen. Er zijn geen oorspronkelijke waarnemingen, maatregelrelaties, taxonidentiteiten of bronversies gewijzigd. Beide registerversies vermelden nu correct kalenderdatums in plaats van onbewezen bezoeken voor 17.209. Meijendel_bronnen en kandidaatbronnen leveren in de gecontroleerde centrale bronfamilies geen extra konijnenmeetregels. De zware exportketen en VPS-publicatie zijn niet gestart.</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rPr>
          <w:b/>
          <w:bCs/>
        </w:rPr>
        <w:t xml:space="preserve">Status.</w:t>
      </w:r>
      <w:r>
        <w:t xml:space="preserve"> </w:t>
      </w:r>
      <w:r>
        <w:t xml:space="preserve">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BodyText"/>
      </w:pPr>
      <w:r>
        <w:t xml:space="preserve">Actualisering 17 oktober 2026 — voorgenomen natuurherstelvlak binnen het noordelijke deel van Helmduinen. Eén aangeleverde uitnodiging van Jasper Wester (Dunea), met één kaartvlak en de nadere plaatsduiding van Ton, is als planbron vastgelegd. De kaart omvat slechts een vlak binnen Helmduinen Noord. Zij begrenst niet het gehele noordelijke deel of heel Helmduinen. De uitnodiging noemt een werkbezoek op 20 oktober 2026; dit is geen uitvoeringsdatum. De verzenddatum van de uitnodiging, de opnamedatum van de kaart en de uitvoeringsperiode zijn niet vastgesteld.</w:t>
      </w:r>
    </w:p>
    <w:p>
      <w:pPr>
        <w:pStyle w:val="BodyText"/>
      </w:pPr>
      <w:r>
        <w:t xml:space="preserve">De drie aangekondigde maatregelen zijn afzonderlijk geregistreerd: ondiep afplaggen voor vochtige duinvalleien; terugdringen van bosopslag en verstruweling voor grijze duinen en vochtige duinvalleien; reactiveren van oude, vastgelegde stuifkuilen. Alle drie hebben status gepland. Dezelfde benaderde contour is driemaal opgeslagen als TG02_plangebied, één keer per maatregel. Dit betreft één gedeeld planvlak van circa 12 hectare, geen drie afzonderlijke vlakken of gerealiseerde oppervlakten. Er zijn nul TG03-uitvoeringsgeometrieën voor dit project. De verdeling van de maatregelen binnen het vlak, plagdiepte, uitvoeringsdatums en gerealiseerde hoeveelheden zijn niet gegeven en blijven leeg.</w:t>
      </w:r>
    </w:p>
    <w:p>
      <w:pPr>
        <w:pStyle w:val="BodyText"/>
      </w:pPr>
      <w:r>
        <w:t xml:space="preserve">De benaderde contour is afgeleid van de aangeleverde PNG met PDOK-luchtfoto 2024 en getoetst aan de 55 lokale SOVON-kavelpolygonen uit 2025. Het indicatieve centrum ligt op RD 83.605 / 463.497, circa 52,1550 N / 4,3439 O. Het vlak ligt nagenoeg in M13s; de kleine berekende overlap bij M77 is niet robuust tegen kaartpassingsfouten. De drie relaties met M13s hebben daarom status te_beoordelen en geen doorsnijdingspercentage. M77 is niet als maatregelkavel toegevoegd. De contour is geen nauwkeurige uitvoeringsgrens of naamgebiedsgrens.</w:t>
      </w:r>
    </w:p>
    <w:p>
      <w:pPr>
        <w:pStyle w:val="BodyText"/>
      </w:pPr>
      <w:r>
        <w:t xml:space="preserve">De lokale maatregelenlaag bevat na deze invoer op 17 oktober 2026 22 projecten, 53 bronnen, 90 maatregelregistraties, 129 bronkoppelingen, 259 kavelrelaties en drie benaderde TG02-plangeometrieën. De bestaande 132 jaarbeoordelingen en 357 regels in v_plot_jaar_maatregel_bronvast zijn exact behouden. De drie nieuwe plannen voegen nul uitvoeringsjaren en nul feitelijke plot-jaarregels toe. Bronbewijs, oorspronkelijke afbeelding en afgeleide contour staan in docs/bronnen/namen/helmduinen_noord_20261017/. De herhaalbare invoer staat in gis/database/nameninventaris_helmduinen_noord_20261017.sql.</w:t>
      </w:r>
    </w:p>
    <w:p>
      <w:pPr>
        <w:pStyle w:val="BodyText"/>
      </w:pPr>
      <w:r>
        <w:t xml:space="preserve">Heranalyse van het getekende Helmduinen-planvlak, 17 oktober 2026. De alleen-lezen puntselectie in de levende database bevat 3.250 BMP-vogelregistraties voor 36 soorten uit 162 bezoeken, 2009–2025; alle zijn toegelaten door ruimtelijke poort v3. De afzonderlijke wintertellingen bevatten 3.712 registraties voor 117 soorten uit 175 bezoeken, 2000–2025. De Avimap-analyseview bevat daarnaast 28 registraties uit 2012–2016: tien Konijn, zeven Vos, tien Ree en één spitsmuis spec., met status voorlopig_bruikbaar. Deze bronselecties zijn niet bij elkaar opgeteld en bewijzen geen aantallen getroffen territoria. Bij tien meter in- of uitwaarts verschuiven van de contour variëren de BMP-selecties van 2.698 tot 3.781 registraties; bij 25 meter van 1.915 tot 4.994. Dit zijn scenario’s, geen berekende kaartfoutmarges.</w:t>
      </w:r>
    </w:p>
    <w:p>
      <w:pPr>
        <w:pStyle w:val="BodyText"/>
      </w:pPr>
      <w:r>
        <w:t xml:space="preserve">Van 810.830 openbare NDFF-records raken 15.206 bronvlakken uit 1850–2025 de plancontour; 2.792 zijn vervaagd. De strengere selectie bevat 592 niet-vervaagde bronvlakken die geheel binnen liggen, 105 taxonlabels uit 1994–2025; alle 592 hebben ook toelatingsstatus toegelaten in ruimtelijke poort v3. Ze omvatten 473 vaatplant-, 82 mos-, 21 korstmos- en zestien overige faunaregistraties. De verrijkingslaag koppelt één spitsmuisrecord uit 2021 aan ticket 58679; de toegelaten beveiligde brongeometrie ligt eveneens geheel binnen. De beveiligde registerlaag bevat 232 Nauwe-korfslakrecords uit 1950–2024, waarvan nul brongeometrieën de contour raken. Dit is geen bewijs van afwezigheid in het terrein. Geen nieuwe populatie- of trendtoelating uitgevoerd.</w:t>
      </w:r>
    </w:p>
    <w:p>
      <w:pPr>
        <w:pStyle w:val="BodyText"/>
      </w:pPr>
      <w:r>
        <w:t xml:space="preserve">Het vangblikonderzoek heeft binnen de contour twaalf locatiecodes op zes onderscheiden RD-punten, met 2.472 events uit 1953–1960 en 3.811 vangstregels voor 107 bron-taxonsleutels. Daarvan hebben 1.463 events gekoppelde vangstregels; lege events zijn niet als harde nul geïnterpreteerd. De zes vergelijkingscodes uit 1959–1960 zijn geen extra terreinposities. Dit levert historische onderzoekscontext op dezelfde plaats, geen nulmeting voor 2026. De externe collectieview levert verder één nominale Naturalis-botanyvindplaats van Saxifraga tridactylites uit 2024 binnen de contour, met onbekende numerieke coördinaatonzekerheid en status collectiecontext. Voor ENDURE, Naturalis Coleoptera, NMR-vlinders, STOWA en de bezoekersdrukmeetlocaties zijn in de uitgevoerde binnen-vlakselecties nul nominale locaties/resultaten gevonden.</w:t>
      </w:r>
    </w:p>
    <w:p>
      <w:pPr>
        <w:pStyle w:val="BodyText"/>
      </w:pPr>
      <w:r>
        <w:t xml:space="preserve">De vernieuwde Zotero-controle omvat 1.518 actuele items, waaronder 820 bijlagen. Van 417 is indextekst gelezen; aanvullend zijn 86 tekstcaches en 290 oorspronkelijke PDF’s gelezen. Dertien van de aanvullend onderzochte bestanden leveren geen tekst; 23 bijlagen zijn geen PDF en vier PDF’s zijn niet uitleesbaar. Er is bruikbare tekst uit 780 bijlagen. Dertien zoektermen leveren 367 itemtreffers met 300 bovenliggende of zelfstandige records, geen 300 studies van het planvlak. Van der Hagen &amp; Hooijmans in Holland’s Duinen 88, april 2026, p. 30–46, beschrijven acht Kikkervalleien-inventarisaties uit 1998–2025 en recent vervolgbeheer. De afzonderlijke negen brondeelgebieden zijn niet digitaal met het planvlak vergeleken; de beschreven ingrepen van 2021–2026 zijn daarom niet als uitvoering binnen dit vlak geregistreerd. De heranalyse en volledige bronselecties staan in Helmduinen_werkbezoek_20_oktober_2026.pdf en de map vlakheranalyse_20261017 in het bijbehorende bewijsarchief. De bestaande drie maatregelplannen blijven gepland; geen databasegegevens gewijzigd.</w:t>
      </w:r>
    </w:p>
    <w:p>
      <w:pPr>
        <w:pStyle w:val="Heading2"/>
      </w:pPr>
      <w:bookmarkStart w:id="57" w:name="_692b0a71312b2a939db271d079fb23757bfc15a"/>
      <w:r>
        <w:t xml:space="preserve">2. Bronnen in MySQL-database</w:t>
      </w:r>
      <w:r>
        <w:t xml:space="preserve"> </w:t>
      </w:r>
      <w:r>
        <w:rPr>
          <w:rStyle w:val="VerbatimChar"/>
        </w:rPr>
        <w:t xml:space="preserve">Meijendel_bronnen</w:t>
      </w:r>
      <w:bookmarkEnd w:id="57"/>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8" w:name="_7ae3f60e8dd3c65bdde3d5f608a55d96632a876"/>
      <w:r>
        <w:t xml:space="preserve">2.1. Duinvalleivegetatie</w:t>
      </w:r>
      <w:bookmarkEnd w:id="58"/>
    </w:p>
    <w:p>
      <w:pPr>
        <w:pStyle w:val="FirstParagraph"/>
      </w:pPr>
      <w:r>
        <w:rPr>
          <w:b/>
          <w:bCs/>
        </w:rPr>
        <w:t xml:space="preserve">Beheerder.</w:t>
      </w:r>
      <w:r>
        <w:t xml:space="preserve"> </w:t>
      </w:r>
      <w:r>
        <w:t xml:space="preserve">Openbare onderzoeksdataset,</w:t>
      </w:r>
      <w:r>
        <w:t xml:space="preserve"> </w:t>
      </w:r>
      <w:hyperlink r:id="rId59">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60" w:name="_6cd5cd3671e295c222d5bd4a47757f0a76f0a19"/>
      <w:r>
        <w:t xml:space="preserve">2.2. Vogelstand 1924</w:t>
      </w:r>
      <w:bookmarkEnd w:id="60"/>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61" w:name="_b3fdc40884db1bbf06132e666e117a731445140"/>
      <w:r>
        <w:t xml:space="preserve">2.3. Jachtspinnen</w:t>
      </w:r>
      <w:bookmarkEnd w:id="61"/>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2" w:name="_7c2c13aacf0ea926ee35ca97ab69391a3624a6f"/>
      <w:r>
        <w:t xml:space="preserve">2.4. Literatuuroverzicht</w:t>
      </w:r>
      <w:bookmarkEnd w:id="62"/>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 xml:space="preserve">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w:t>
      </w:r>
      <w:r>
        <w:t xml:space="preserve"> </w:t>
      </w:r>
      <w:r>
        <w:rPr>
          <w:rStyle w:val="VerbatimChar"/>
        </w:rPr>
        <w:t xml:space="preserve">/Volumes/T7 Data/Zotero/files</w:t>
      </w:r>
      <w:r>
        <w:t xml:space="preserve">; dit is de op 17 oktober 2026 door Ton bevestigde vaste opslagafspraak.</w:t>
      </w:r>
    </w:p>
    <w:p>
      <w:pPr>
        <w:pStyle w:val="BodyText"/>
      </w:pPr>
      <w:r>
        <w:t xml:space="preserve">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w:t>
      </w:r>
      <w:r>
        <w:t xml:space="preserve"> </w:t>
      </w:r>
      <w:r>
        <w:rPr>
          <w:rStyle w:val="VerbatimChar"/>
        </w:rPr>
        <w:t xml:space="preserve">Meijendel</w:t>
      </w:r>
      <w:r>
        <w:t xml:space="preserve"> </w:t>
      </w:r>
      <w:r>
        <w:t xml:space="preserve">en</w:t>
      </w:r>
      <w:r>
        <w:t xml:space="preserve"> </w:t>
      </w:r>
      <w:r>
        <w:rPr>
          <w:rStyle w:val="VerbatimChar"/>
        </w:rPr>
        <w:t xml:space="preserve">Meijendel_bronnen</w:t>
      </w:r>
      <w:r>
        <w:t xml:space="preserve">, de analysetoelating en de VPS-publicatiestand zijn in deze taak niet gewijzigd.</w:t>
      </w:r>
    </w:p>
    <w:p>
      <w:pPr>
        <w:pStyle w:val="BodyText"/>
      </w:pPr>
      <w:r>
        <w:t xml:space="preserve">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3" w:name="_4a1f2475629c7656191227e4ca81566bef187e2"/>
      <w:r>
        <w:t xml:space="preserve">2.5. Bijenmonitoring in vier beheergebieden</w:t>
      </w:r>
      <w:bookmarkEnd w:id="63"/>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4" w:name="_bef92f685785a24a45e5325384551ba55c57cc1"/>
      <w:r>
        <w:t xml:space="preserve">2.6. Aquatische macrofauna 1974–1975</w:t>
      </w:r>
      <w:bookmarkEnd w:id="64"/>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5" w:name="_2b62b82ef201b4c91783bce15da2b1d0258c34c"/>
      <w:r>
        <w:t xml:space="preserve">3. Geïdentificeerde externe kandidaatbronnen</w:t>
      </w:r>
      <w:bookmarkEnd w:id="65"/>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6" w:name="_d53aceb4d9e4863cdbb6367737be5e291cdac65"/>
      <w:r>
        <w:t xml:space="preserve">Kandidaten met de grootste verwachte aanvulling</w:t>
      </w:r>
      <w:bookmarkEnd w:id="66"/>
    </w:p>
    <w:p>
      <w:pPr>
        <w:pStyle w:val="Heading4"/>
      </w:pPr>
      <w:bookmarkStart w:id="67" w:name="_bddce02f5cb2b082bf32fac381c8bc0ea5284d3"/>
      <w:r>
        <w:t xml:space="preserve">3.1. Historische en actuele ringgegevens</w:t>
      </w:r>
      <w:bookmarkEnd w:id="67"/>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8" w:name="_8071b7ae643e6cecadbf8a281c84bb90b511e63"/>
      <w:r>
        <w:t xml:space="preserve">3.2. Erosiepinnen in een stuifkuilcomplex</w:t>
      </w:r>
      <w:bookmarkEnd w:id="68"/>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9" w:name="_1b05a95cacb83608c9b762adcf4298810ed86f9"/>
      <w:r>
        <w:t xml:space="preserve">3.3. Langjarige droge-duinvegetatieplots</w:t>
      </w:r>
      <w:bookmarkEnd w:id="69"/>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71" w:name="_4578481a165cef1470f100d42a5e836ac7456f8"/>
      <w:r>
        <w:t xml:space="preserve">3.4.</w:t>
      </w:r>
      <w:r>
        <w:t xml:space="preserve"> </w:t>
      </w:r>
      <w:hyperlink r:id="rId70">
        <w:r>
          <w:rPr>
            <w:rStyle w:val="Hyperlink"/>
          </w:rPr>
          <w:t xml:space="preserve">Neuropteren van Meijendel</w:t>
        </w:r>
      </w:hyperlink>
      <w:bookmarkEnd w:id="71"/>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3" w:name="_642992b46f3d655730973d9bd57c00f9c7aad9f"/>
      <w:r>
        <w:t xml:space="preserve">3.5.</w:t>
      </w:r>
      <w:r>
        <w:t xml:space="preserve"> </w:t>
      </w:r>
      <w:hyperlink r:id="rId72">
        <w:r>
          <w:rPr>
            <w:rStyle w:val="Hyperlink"/>
          </w:rPr>
          <w:t xml:space="preserve">Zweefvliegen van Meijendel</w:t>
        </w:r>
      </w:hyperlink>
      <w:bookmarkEnd w:id="73"/>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4" w:name="_80b82bf48485caf594896b8d6bc490be5f328ee"/>
      <w:r>
        <w:t xml:space="preserve">3.6. TERRA-Dunes plant- en bodemmicrobiomen</w:t>
      </w:r>
      <w:bookmarkEnd w:id="74"/>
    </w:p>
    <w:p>
      <w:pPr>
        <w:pStyle w:val="FirstParagraph"/>
      </w:pPr>
      <w:r>
        <w:rPr>
          <w:b/>
          <w:bCs/>
        </w:rPr>
        <w:t xml:space="preserve">Eigenaar of uitgever.</w:t>
      </w:r>
      <w:r>
        <w:t xml:space="preserve"> </w:t>
      </w:r>
      <w:r>
        <w:t xml:space="preserve">Onderzoeksteam TERRA-Dunes,</w:t>
      </w:r>
      <w:r>
        <w:t xml:space="preserve"> </w:t>
      </w:r>
      <w:hyperlink r:id="rId75">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6" w:name="_4b2db10b2340db42e20505c45425c0b84f14c27"/>
      <w:r>
        <w:t xml:space="preserve">3.7. Rups- en bodemmicrobiomen</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8" w:name="_442e94e4e2997aa133d10bf618574e2528e759d"/>
      <w:r>
        <w:t xml:space="preserve">3.8. Schimmels bij kruipwilg</w:t>
      </w:r>
      <w:bookmarkEnd w:id="78"/>
    </w:p>
    <w:p>
      <w:pPr>
        <w:pStyle w:val="FirstParagraph"/>
      </w:pPr>
      <w:r>
        <w:rPr>
          <w:b/>
          <w:bCs/>
        </w:rPr>
        <w:t xml:space="preserve">Eigenaar of uitgever.</w:t>
      </w:r>
      <w:r>
        <w:t xml:space="preserve"> </w:t>
      </w:r>
      <w:r>
        <w:t xml:space="preserve">Onderzoeksteam,</w:t>
      </w:r>
      <w:r>
        <w:t xml:space="preserve"> </w:t>
      </w:r>
      <w:hyperlink r:id="rId79">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80" w:name="_36e8e197a59cff4a0251b791dc5fc6bc0e135bf"/>
      <w:r>
        <w:t xml:space="preserve">3.9. Plantengroei, bodemvocht en weer</w:t>
      </w:r>
      <w:bookmarkEnd w:id="80"/>
    </w:p>
    <w:p>
      <w:pPr>
        <w:pStyle w:val="FirstParagraph"/>
      </w:pPr>
      <w:r>
        <w:rPr>
          <w:b/>
          <w:bCs/>
        </w:rPr>
        <w:t xml:space="preserve">Eigenaar of uitgever.</w:t>
      </w:r>
      <w:r>
        <w:t xml:space="preserve"> </w:t>
      </w:r>
      <w:r>
        <w:t xml:space="preserve">Wageningen University &amp; Research,</w:t>
      </w:r>
      <w:r>
        <w:t xml:space="preserve"> </w:t>
      </w:r>
      <w:hyperlink r:id="rId81">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2" w:name="_49ed5beca1c3c65272a43e85c3687f3c3d41d64"/>
      <w:r>
        <w:t xml:space="preserve">3.10. Genetische datasets amfibieën</w:t>
      </w:r>
      <w:bookmarkEnd w:id="82"/>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3" w:name="_136d668cd3b301eba92f27584d1a2d49d57a73c"/>
      <w:r>
        <w:t xml:space="preserve">3.11. Alleen context of nog een onderzoeksaanwijzing</w:t>
      </w:r>
      <w:bookmarkEnd w:id="83"/>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w:t>
      </w:r>
      <w:r>
        <w:t xml:space="preserve"> </w:t>
      </w:r>
      <w:r>
        <w:t xml:space="preserve">voor 2008 en 2014; TU Delft beschreef elf beeldmomenten uit 2019–2021. De</w:t>
      </w:r>
      <w:r>
        <w:t xml:space="preserve"> </w:t>
      </w:r>
      <w:r>
        <w:t xml:space="preserve">afgeleide onderzoeksrasters zijn nog niet als openbare dataset gevonden en</w:t>
      </w:r>
      <w:r>
        <w:t xml:space="preserve"> </w:t>
      </w:r>
      <w:r>
        <w:t xml:space="preserve">blijven kandidaatbron. De landelijke DTM- en DSM-bronnen uit de</w:t>
      </w:r>
      <w:r>
        <w:t xml:space="preserve"> </w:t>
      </w:r>
      <w:hyperlink r:id="rId84">
        <w:r>
          <w:rPr>
            <w:rStyle w:val="Hyperlink"/>
          </w:rPr>
          <w:t xml:space="preserve">AHN-dataroom</w:t>
        </w:r>
      </w:hyperlink>
      <w:r>
        <w:t xml:space="preserve"> </w:t>
      </w:r>
      <w:r>
        <w:t xml:space="preserve">zijn inmiddels wel gebruikt om de</w:t>
      </w:r>
      <w:r>
        <w:t xml:space="preserve"> </w:t>
      </w:r>
      <w:r>
        <w:t xml:space="preserve">onder 1.8.2 beschreven proxy voor 2014 en 2020 af te leiden en lokaal te</w:t>
      </w:r>
      <w:r>
        <w:t xml:space="preserve"> </w:t>
      </w:r>
      <w:r>
        <w:t xml:space="preserve">controleren. De onderzoeksrasters en de AHN-proxy zijn dus niet dezelfde bron.</w:t>
      </w:r>
    </w:p>
    <w:p>
      <w:pPr>
        <w:pStyle w:val="BodyText"/>
      </w:pPr>
      <w:hyperlink r:id="rId85">
        <w:r>
          <w:rPr>
            <w:rStyle w:val="Hyperlink"/>
            <w:b/>
            <w:bCs/>
          </w:rPr>
          <w:t xml:space="preserve">Landbedekking in vogelplots</w:t>
        </w:r>
      </w:hyperlink>
      <w:r>
        <w:rPr>
          <w:b/>
          <w:bCs/>
        </w:rPr>
        <w:t xml:space="preserve">:</w:t>
      </w:r>
      <w:r>
        <w:t xml:space="preserve"> </w:t>
      </w:r>
      <w:r>
        <w:t xml:space="preserve">de openbare studie van Schmidt-Tauscher, Häger en Van der Hagen uit 2025</w:t>
      </w:r>
      <w:r>
        <w:t xml:space="preserve"> </w:t>
      </w:r>
      <w:r>
        <w:t xml:space="preserve">behandelt 25 BMP-plots met samen 925 hectare. Het openbare supplement bevat de</w:t>
      </w:r>
      <w:r>
        <w:t xml:space="preserve"> </w:t>
      </w:r>
      <w:r>
        <w:t xml:space="preserve">volledige tabel met de oppervlakte van zeven landbedekkingsklassen per plot in</w:t>
      </w:r>
      <w:r>
        <w:t xml:space="preserve"> </w:t>
      </w:r>
      <w:r>
        <w:t xml:space="preserve">2001 en 2022: struweel, bos, boomgroepen, lage vegetatie, riet, kaal zand en</w:t>
      </w:r>
      <w:r>
        <w:t xml:space="preserve"> </w:t>
      </w:r>
      <w:r>
        <w:t xml:space="preserve">water. De classificatie is afgeleid uit luchtfoto's, teruggebracht tot pixels</w:t>
      </w:r>
      <w:r>
        <w:t xml:space="preserve"> </w:t>
      </w:r>
      <w:r>
        <w:t xml:space="preserve">van 5 bij 5 meter en had een totale nauwkeurigheid van 81% in 2001 en 82% in</w:t>
      </w:r>
      <w:r>
        <w:t xml:space="preserve"> </w:t>
      </w:r>
      <w:r>
        <w:t xml:space="preserve">2022. De bron-Excel is op 11 oktober 2026 reproduceerbaar in de lokale</w:t>
      </w:r>
      <w:r>
        <w:t xml:space="preserve"> </w:t>
      </w:r>
      <w:r>
        <w:t xml:space="preserve">broedvogel–vegetatieanalyse gebruikt en met SHA256 in het uitvoermanifest</w:t>
      </w:r>
      <w:r>
        <w:t xml:space="preserve"> </w:t>
      </w:r>
      <w:r>
        <w:t xml:space="preserve">vastgelegd; zij is niet als nieuwe brontabel in de levende database</w:t>
      </w:r>
      <w:r>
        <w:t xml:space="preserve"> </w:t>
      </w:r>
      <w:r>
        <w:t xml:space="preserve">geïmporteerd. M17 heeft in de actuele vogelmatrix geen territoriumplotjaar en</w:t>
      </w:r>
      <w:r>
        <w:t xml:space="preserve"> </w:t>
      </w:r>
      <w:r>
        <w:t xml:space="preserve">valt uit de modellen. De overige vogelgroepen gebruiken 22–24 plots. Bij M71</w:t>
      </w:r>
      <w:r>
        <w:t xml:space="preserve"> </w:t>
      </w:r>
      <w:r>
        <w:t xml:space="preserve">is in beide jaren 47,89 van 48,46 hectare geclassificeerd; de ontbrekende 0,57</w:t>
      </w:r>
      <w:r>
        <w:t xml:space="preserve"> </w:t>
      </w:r>
      <w:r>
        <w:t xml:space="preserve">hectare blijft zichtbaar en de klasseaandelen zijn alleen over het</w:t>
      </w:r>
      <w:r>
        <w:t xml:space="preserve"> </w:t>
      </w:r>
      <w:r>
        <w:t xml:space="preserve">geclassificeerde deel berekend.</w:t>
      </w:r>
    </w:p>
    <w:p>
      <w:pPr>
        <w:pStyle w:val="BodyText"/>
      </w:pPr>
      <w:r>
        <w:t xml:space="preserve">De plot-tabel voegt een ecologisch specifiekere verklarende laag toe dan de</w:t>
      </w:r>
      <w:r>
        <w:t xml:space="preserve"> </w:t>
      </w:r>
      <w:r>
        <w:t xml:space="preserve">CBS-landgebruikgegevens voor 55 plots in 1996, 2010, 2015, 2017 en 2022.</w:t>
      </w:r>
      <w:r>
        <w:t xml:space="preserve"> </w:t>
      </w:r>
      <w:r>
        <w:t xml:space="preserve">Wateroppervlak leverde in alle vijf ruimtelijke validatieblokken een betere</w:t>
      </w:r>
      <w:r>
        <w:t xml:space="preserve"> </w:t>
      </w:r>
      <w:r>
        <w:t xml:space="preserve">logscore voor watervogels. Voor de overige vogelgroepen waren de scores</w:t>
      </w:r>
      <w:r>
        <w:t xml:space="preserve"> </w:t>
      </w:r>
      <w:r>
        <w:t xml:space="preserve">gemengd of te veel modellen numeriek ongeldig; van de 36</w:t>
      </w:r>
      <w:r>
        <w:t xml:space="preserve"> </w:t>
      </w:r>
      <w:r>
        <w:t xml:space="preserve">landbedekkingsvalidaties slaagden er 18.</w:t>
      </w:r>
    </w:p>
    <w:p>
      <w:pPr>
        <w:pStyle w:val="BodyText"/>
      </w:pPr>
      <w:r>
        <w:t xml:space="preserve">Op 19 oktober 2026 zijn de twee oorspronkelijke GeoTIFFs, de QGIS-stijl en de</w:t>
      </w:r>
      <w:r>
        <w:t xml:space="preserve"> </w:t>
      </w:r>
      <w:r>
        <w:t xml:space="preserve">shapefile van de 25 bronplots rechtstreeks van Achim Häger ontvangen en</w:t>
      </w:r>
      <w:r>
        <w:t xml:space="preserve"> </w:t>
      </w:r>
      <w:r>
        <w:t xml:space="preserve">ongewijzigd opgeslagen onder</w:t>
      </w:r>
      <w:r>
        <w:t xml:space="preserve"> </w:t>
      </w:r>
      <w:r>
        <w:rPr>
          <w:rStyle w:val="VerbatimChar"/>
        </w:rPr>
        <w:t xml:space="preserve">Landgebruik/schmidt_tauscher_2025/bron/</w:t>
      </w:r>
      <w:r>
        <w:t xml:space="preserve">. De</w:t>
      </w:r>
      <w:r>
        <w:t xml:space="preserve"> </w:t>
      </w:r>
      <w:r>
        <w:t xml:space="preserve">acht bronbestanden zijn met SHA256 vastgelegd. De GeoTIFFs staan in RD New,</w:t>
      </w:r>
      <w:r>
        <w:t xml:space="preserve"> </w:t>
      </w:r>
      <w:r>
        <w:t xml:space="preserve">omvatten 369.710 geldige pixels in 2001 en 369.662 in 2022 en hebben een</w:t>
      </w:r>
      <w:r>
        <w:t xml:space="preserve"> </w:t>
      </w:r>
      <w:r>
        <w:t xml:space="preserve">resolutie van ongeveer 5 bij 5 meter. Alle 739.372 pixels hebben een bekende</w:t>
      </w:r>
      <w:r>
        <w:t xml:space="preserve"> </w:t>
      </w:r>
      <w:r>
        <w:t xml:space="preserve">klasse en vallen binnen een van de 25 bronplots. Over 350</w:t>
      </w:r>
      <w:r>
        <w:t xml:space="preserve"> </w:t>
      </w:r>
      <w:r>
        <w:t xml:space="preserve">plot–klasse–jaarvergelijkingen is het gemiddelde absolute verschil met het</w:t>
      </w:r>
      <w:r>
        <w:t xml:space="preserve"> </w:t>
      </w:r>
      <w:r>
        <w:t xml:space="preserve">openbare supplement 0,0032 hectare en het maximum 0,030 hectare. De rasters</w:t>
      </w:r>
      <w:r>
        <w:t xml:space="preserve"> </w:t>
      </w:r>
      <w:r>
        <w:t xml:space="preserve">zijn daarmee toegelaten voor afleiding van horizontale structuurmaten.</w:t>
      </w:r>
    </w:p>
    <w:p>
      <w:pPr>
        <w:pStyle w:val="BodyText"/>
      </w:pPr>
      <w:r>
        <w:t xml:space="preserve">Per plot en klasse zijn aandeel, aantal en dichtheid van aaneengesloten</w:t>
      </w:r>
      <w:r>
        <w:t xml:space="preserve"> </w:t>
      </w:r>
      <w:r>
        <w:t xml:space="preserve">vlakken, aandeel van het grootste vlak en randdichtheid berekend. Per plot zijn</w:t>
      </w:r>
      <w:r>
        <w:t xml:space="preserve"> </w:t>
      </w:r>
      <w:r>
        <w:t xml:space="preserve">ook klassenrijkdom, Shannon-diversiteit en totale interne randdichtheid</w:t>
      </w:r>
      <w:r>
        <w:t xml:space="preserve"> </w:t>
      </w:r>
      <w:r>
        <w:t xml:space="preserve">vastgelegd. Tussen 2001 en 2022 stijgt over de 25 plots de mediane interne</w:t>
      </w:r>
      <w:r>
        <w:t xml:space="preserve"> </w:t>
      </w:r>
      <w:r>
        <w:t xml:space="preserve">randdichtheid met 49,0 meter per hectare en de mediane Shannon-diversiteit met</w:t>
      </w:r>
      <w:r>
        <w:t xml:space="preserve"> </w:t>
      </w:r>
      <w:r>
        <w:t xml:space="preserve">0,049; de mediane klassenrijkdom verandert niet. Dit beschrijft ruimtelijke</w:t>
      </w:r>
      <w:r>
        <w:t xml:space="preserve"> </w:t>
      </w:r>
      <w:r>
        <w:t xml:space="preserve">patronen in twee kaartjaren, geen jaarlijkse ontwikkeling of causale relatie.</w:t>
      </w:r>
      <w:r>
        <w:t xml:space="preserve"> </w:t>
      </w:r>
      <w:r>
        <w:t xml:space="preserve">De levering bevat geen trainingspolygonen en geen oorspronkelijke 125</w:t>
      </w:r>
      <w:r>
        <w:t xml:space="preserve"> </w:t>
      </w:r>
      <w:r>
        <w:t xml:space="preserve">validatiepunten. Achim meldt bovendien dat vergelijking over meer dan twee</w:t>
      </w:r>
      <w:r>
        <w:t xml:space="preserve"> </w:t>
      </w:r>
      <w:r>
        <w:t xml:space="preserve">beeldjaren ook met textuurmaten moeilijk bleef. De bron meet geen</w:t>
      </w:r>
      <w:r>
        <w:t xml:space="preserve"> </w:t>
      </w:r>
      <w:r>
        <w:t xml:space="preserve">vegetatiehoogte, voedsel, nestgelegenheid of andere habitatkwaliteit. Voor</w:t>
      </w:r>
      <w:r>
        <w:t xml:space="preserve"> </w:t>
      </w:r>
      <w:r>
        <w:t xml:space="preserve">herpublicatie van de ontvangen bestanden is nog geen afzonderlijke toestemming</w:t>
      </w:r>
      <w:r>
        <w:t xml:space="preserve"> </w:t>
      </w:r>
      <w:r>
        <w:t xml:space="preserve">vastgelegd; gebruik blijft daarom voorlopig beperkt tot de lokale</w:t>
      </w:r>
      <w:r>
        <w:t xml:space="preserve"> </w:t>
      </w:r>
      <w:r>
        <w:t xml:space="preserve">projectanalyse.</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6" w:name="_5a3c854a1ae73aceac94ca91c157868f870ab17"/>
      <w:r>
        <w:t xml:space="preserve">3.12. Geografische namen en historische paden</w:t>
      </w:r>
      <w:bookmarkEnd w:id="86"/>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 voor deze twee historische contouren een eigen maatregelgeometrie achterwege.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BodyText"/>
      </w:pPr>
      <w:r>
        <w:t xml:space="preserve">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BodyText"/>
      </w:pPr>
      <w:r>
        <w:t xml:space="preserve">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w:t>
      </w:r>
      <w:r>
        <w:t xml:space="preserve"> </w:t>
      </w:r>
      <w:hyperlink r:id="rId87">
        <w:r>
          <w:rPr>
            <w:rStyle w:val="Hyperlink"/>
          </w:rPr>
          <w:t xml:space="preserve">https://edepot.wur.nl/393293</w:t>
        </w:r>
      </w:hyperlink>
      <w:r>
        <w:t xml:space="preserve">.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BodyText"/>
      </w:pPr>
      <w:r>
        <w:t xml:space="preserve">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BodyText"/>
      </w:pPr>
      <w:r>
        <w:t xml:space="preserve">Vervolgkaartonderzoek, 16 oktober 2026, versie 2. De verbeterlevering meijendel_databasekwaliteit_2026-10-16_v2 bevat dezelfde 136 bestaande object-ID’s en 23 aanvullende bewijsregels. De volledige oorspronkelijke Neefjes-publicatie is nu verkregen via de actuele download</w:t>
      </w:r>
      <w:r>
        <w:t xml:space="preserve"> </w:t>
      </w:r>
      <w:hyperlink r:id="rId88">
        <w:r>
          <w:rPr>
            <w:rStyle w:val="Hyperlink"/>
          </w:rPr>
          <w:t xml:space="preserve">https://pas.ecologischeautoriteit.nl/files/ea/5004/011152-5004-cultuursporen-in-het-duin.pdf</w:t>
        </w:r>
      </w:hyperlink>
      <w:r>
        <w:t xml:space="preserve">: 76 PDF-pagina’s, met de drie kaartbijlagen op pagina’s 74–76. De kopie op Duinen en Mensen telt 73 pagina’s en mist die bijlagen. De oorspronkelijke vegetatiekaarten uit 1955 zijn beschikbaar in het proefschrift van Boerboom uit 1960 (</w:t>
      </w:r>
      <w:hyperlink r:id="rId89">
        <w:r>
          <w:rPr>
            <w:rStyle w:val="Hyperlink"/>
          </w:rPr>
          <w:t xml:space="preserve">https://edepot.wur.nl/183358</w:t>
        </w:r>
      </w:hyperlink>
      <w:r>
        <w:t xml:space="preserve">,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BodyText"/>
      </w:pPr>
      <w:r>
        <w:t xml:space="preserve">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BodyText"/>
      </w:pPr>
      <w:r>
        <w:t xml:space="preserve">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BodyText"/>
      </w:pPr>
      <w:r>
        <w:t xml:space="preserve">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BodyText"/>
      </w:pPr>
      <w:r>
        <w:t xml:space="preserve">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BodyText"/>
      </w:pPr>
      <w:r>
        <w:t xml:space="preserve">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BodyText"/>
      </w:pPr>
      <w:r>
        <w:t xml:space="preserve">Naamactualisering 17 oktober 2026 — Helmduinen Noord. Ton bevestigt dat deze naam het noordelijke deel van Helmduinen aanduidt. Het aangeleverde natuurherstelvlak ligt binnen dit noordelijke deel, maar omvat niet het gehele noordelijke deel. De precieze ligging en volledige begrenzing van zowel Helmduinen als Helmduinen Noord zijn niet vastgesteld. De historische toedeling Helmduinen M15/M16 blijft eerder bronbewijs voor deelcontext; zij is geen volledige of limitatieve kaveltoedeling van het naamgebied. De planvlakcontext in M13s bewijst evenmin dat Helmduinen Noord of heel Helmduinen uitsluitend in M13s ligt.</w:t>
      </w:r>
    </w:p>
    <w:p>
      <w:pPr>
        <w:pStyle w:val="BodyText"/>
      </w:pPr>
      <w:r>
        <w:t xml:space="preserve">In de levende nameninventaris zijn één naamobject Helmduinen Noord (OBJ-E37FA22F23), één bron en twee bronvermeldingen toegevoegd, waaronder de verduidelijking bij Helmduinen (OBJ-F7B480D407). De ontvangst- en bevestigingsdatum is 17 oktober 2026; dit is geen bewezen eerste naamdatum, kaarteditiejaar of uitvoeringsdatum. Beide naamobjecten hebben een actuele beoordeling bronlacune_geometrie. De oudere beoordeling van Helmduinen is als eerdere versie behouden.</w:t>
      </w:r>
    </w:p>
    <w:p>
      <w:pPr>
        <w:pStyle w:val="BodyText"/>
      </w:pPr>
      <w:r>
        <w:t xml:space="preserve">De stand op 17 oktober 2026 is 183 naamobjecten, 321 vermeldingen uit de oorspronkelijke bronperiode 1602–2026 en de nieuwe bevestiging van 17 oktober 2026, 22 bronnen en 224 beoordelingen, waarvan 112 actueel. Alle 71 bestaande naamgeometrieën, 377 naam–kavelrelaties en 365 relaties in v_nameninventaris_plot_actueel zijn ongewijzigd. Het oorspronkelijke importmanifest blijft de levering van 14 oktober 2026 beschrijven. De benaderde natuurherstelcontour is uitsluitend als maatregelplangebied opgenomen en levert geen naamgeometrie voor Helmduinen Noord of Helmduinen. Bronverantwoording: docs/bronnen/namen/helmduinen_noord_20261017/bronverantwoording.json.</w:t>
      </w:r>
    </w:p>
    <w:p>
      <w:pPr>
        <w:pStyle w:val="Heading2"/>
      </w:pPr>
      <w:bookmarkStart w:id="90" w:name="_c540a83ee65aaec11aa446aec0815d16fd21e21"/>
      <w:r>
        <w:t xml:space="preserve">4. Verwachte aanvullingen</w:t>
      </w:r>
      <w:bookmarkEnd w:id="90"/>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Ingrid de Vries heeft de gevalideerde kaart van Meijendel nog niet en verwacht dat deze mogelijk in december 2026 beschikbaar komt. Zij heeft toegezegd de kaart te delen zodra dat kan; december is een verwachting, geen bevestigde leverdatum. De kaart kan veranderingen in habitat helpen verklaren, maar is zelf geen soortenwaarneming.</w:t>
      </w:r>
    </w:p>
    <w:p>
      <w:pPr>
        <w:pStyle w:val="Heading2"/>
      </w:pPr>
      <w:bookmarkStart w:id="91" w:name="_422e6271160c2b04a3b59fb5b59cfcc2e3afc55"/>
      <w:r>
        <w:t xml:space="preserve">5. Bronnen die niet verder worden uitgewerkt</w:t>
      </w:r>
      <w:bookmarkEnd w:id="91"/>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92" w:name="_b05dec49988a12f7955d21ff17f1c91e4d061eb"/>
      <w:r>
        <w:t xml:space="preserve">6. Gebruik van dit register</w:t>
      </w:r>
      <w:bookmarkEnd w:id="92"/>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93" w:name="_67781990bcb7d7d43cc312a7ef48f37a1f83265"/>
      <w:r>
        <w:t xml:space="preserve">7. Actieplan</w:t>
      </w:r>
      <w:bookmarkEnd w:id="93"/>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94" w:name="_d7f889e2150e602eaeb242f489896c9b52af547"/>
      <w:r>
        <w:t xml:space="preserve">Fase 1 — openbare, direct toetsbare bronnen</w:t>
      </w:r>
      <w:bookmarkEnd w:id="94"/>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95" w:name="_a67120beb48c3916f8a53c623f303ce8b8a6005"/>
      <w:r>
        <w:t xml:space="preserve">Fase 2 — reeksen met grote historische of trendwaarde</w:t>
      </w:r>
      <w:bookmarkEnd w:id="95"/>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6" w:name="_c96f79f2027e81b7ab280f9bf69df5af8bdf464"/>
      <w:r>
        <w:t xml:space="preserve">Fase 3 — reeds bekende bronhouders en contextdatasets</w:t>
      </w:r>
      <w:bookmarkEnd w:id="96"/>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7" w:name="_d490f73b19661b8ff0d346b94e527be91e989c7"/>
      <w:r>
        <w:t xml:space="preserve">Vaste werkwijze per bron</w:t>
      </w:r>
      <w:bookmarkEnd w:id="97"/>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8" w:name="_1e50ec235a164d1e043cda4cec7be66fb154af3"/>
      <w:r>
        <w:t xml:space="preserve">Dekking van de internetcontrole</w:t>
      </w:r>
      <w:bookmarkEnd w:id="98"/>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9" w:name="_5001ec8ecf742000e2504f4f268bea177f3f158"/>
      <w:r>
        <w:t xml:space="preserve">Achterliggende verantwoording</w:t>
      </w:r>
      <w:bookmarkEnd w:id="99"/>
    </w:p>
    <w:p>
      <w:pPr>
        <w:pStyle w:val="Compact"/>
        <w:numPr>
          <w:ilvl w:val="0"/>
          <w:numId w:val="1005"/>
        </w:numPr>
      </w:pPr>
      <w:hyperlink r:id="rId100">
        <w:r>
          <w:rPr>
            <w:rStyle w:val="Hyperlink"/>
          </w:rPr>
          <w:t xml:space="preserve">NDFF-staging en bronvergelijking</w:t>
        </w:r>
      </w:hyperlink>
    </w:p>
    <w:p>
      <w:pPr>
        <w:pStyle w:val="Compact"/>
        <w:numPr>
          <w:ilvl w:val="0"/>
          <w:numId w:val="1005"/>
        </w:numPr>
      </w:pPr>
      <w:hyperlink r:id="rId101">
        <w:r>
          <w:rPr>
            <w:rStyle w:val="Hyperlink"/>
          </w:rPr>
          <w:t xml:space="preserve">NDFF-protocolaudit</w:t>
        </w:r>
      </w:hyperlink>
    </w:p>
    <w:p>
      <w:pPr>
        <w:pStyle w:val="Compact"/>
        <w:numPr>
          <w:ilvl w:val="0"/>
          <w:numId w:val="1005"/>
        </w:numPr>
      </w:pPr>
      <w:hyperlink r:id="rId102">
        <w:r>
          <w:rPr>
            <w:rStyle w:val="Hyperlink"/>
          </w:rPr>
          <w:t xml:space="preserve">Scheiding tussen Meijendel en Meijendel_bronnen</w:t>
        </w:r>
      </w:hyperlink>
    </w:p>
    <w:p>
      <w:pPr>
        <w:pStyle w:val="Compact"/>
        <w:numPr>
          <w:ilvl w:val="0"/>
          <w:numId w:val="1005"/>
        </w:numPr>
      </w:pPr>
      <w:hyperlink r:id="rId103">
        <w:r>
          <w:rPr>
            <w:rStyle w:val="Hyperlink"/>
          </w:rPr>
          <w:t xml:space="preserve">Ruimtelijke audit van contextbronnen</w:t>
        </w:r>
      </w:hyperlink>
    </w:p>
    <w:p>
      <w:pPr>
        <w:pStyle w:val="Compact"/>
        <w:numPr>
          <w:ilvl w:val="0"/>
          <w:numId w:val="1005"/>
        </w:numPr>
      </w:pPr>
      <w:hyperlink r:id="rId104">
        <w:r>
          <w:rPr>
            <w:rStyle w:val="Hyperlink"/>
          </w:rPr>
          <w:t xml:space="preserve">Importbesluit duinvalleivegetatie</w:t>
        </w:r>
      </w:hyperlink>
    </w:p>
    <w:p>
      <w:pPr>
        <w:pStyle w:val="Compact"/>
        <w:numPr>
          <w:ilvl w:val="0"/>
          <w:numId w:val="1005"/>
        </w:numPr>
      </w:pPr>
      <w:hyperlink r:id="rId105">
        <w:r>
          <w:rPr>
            <w:rStyle w:val="Hyperlink"/>
          </w:rPr>
          <w:t xml:space="preserve">Ruimtelijke bronlagen en toelatingsregels</w:t>
        </w:r>
      </w:hyperlink>
    </w:p>
    <w:p>
      <w:pPr>
        <w:pStyle w:val="Compact"/>
        <w:numPr>
          <w:ilvl w:val="0"/>
          <w:numId w:val="1005"/>
        </w:numPr>
      </w:pPr>
      <w:hyperlink r:id="rId106">
        <w:r>
          <w:rPr>
            <w:rStyle w:val="Hyperlink"/>
          </w:rPr>
          <w:t xml:space="preserve">Beveiligde NDFF-ontvangst</w:t>
        </w:r>
      </w:hyperlink>
    </w:p>
    <w:p>
      <w:pPr>
        <w:pStyle w:val="Heading2"/>
      </w:pPr>
      <w:bookmarkStart w:id="107" w:name="_c4c5e83029c8593231be35dbc87830101c46a33"/>
      <w:r>
        <w:t xml:space="preserve">Integratie begrazing en toegankelijkheid op 16 oktober 2026</w:t>
      </w:r>
      <w:bookmarkEnd w:id="107"/>
    </w:p>
    <w:p>
      <w:pPr>
        <w:pStyle w:val="FirstParagraph"/>
      </w:pPr>
      <w:r>
        <w:t xml:space="preserve">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pPr>
        <w:pStyle w:val="BodyText"/>
      </w:pPr>
      <w:r>
        <w:t xml:space="preserve">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pPr>
        <w:pStyle w:val="BodyText"/>
      </w:pPr>
      <w:r>
        <w:t xml:space="preserve">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pPr>
        <w:pStyle w:val="BodyText"/>
      </w:pPr>
      <w:r>
        <w:t xml:space="preserve">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pPr>
        <w:pStyle w:val="BodyText"/>
      </w:pPr>
      <w:r>
        <w:t xml:space="preserve">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pPr>
        <w:pStyle w:val="BodyText"/>
      </w:pPr>
      <w:r>
        <w:t xml:space="preserve">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pPr>
        <w:pStyle w:val="BodyText"/>
      </w:pPr>
      <w:r>
        <w:t xml:space="preserve">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pPr>
        <w:pStyle w:val="BodyText"/>
      </w:pPr>
      <w:r>
        <w:t xml:space="preserve">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pPr>
        <w:pStyle w:val="BodyText"/>
      </w:pPr>
      <w:r>
        <w:t xml:space="preserve">Betekenistoets: uitvoering, locatie, tijd, toestand en taxonidentiteit blijven onderscheiden volgens Darwin Core (</w:t>
      </w:r>
      <w:hyperlink r:id="rId108">
        <w:r>
          <w:rPr>
            <w:rStyle w:val="Hyperlink"/>
          </w:rPr>
          <w:t xml:space="preserve">https://dwc.tdwg.org/terms/</w:t>
        </w:r>
      </w:hyperlink>
      <w:r>
        <w:t xml:space="preserve">) en TDWG TCS (</w:t>
      </w:r>
      <w:hyperlink r:id="rId109">
        <w:r>
          <w:rPr>
            <w:rStyle w:val="Hyperlink"/>
          </w:rPr>
          <w:t xml:space="preserve">https://tcs.tdwg.org/terms/</w:t>
        </w:r>
      </w:hyperlink>
      <w:r>
        <w:t xml:space="preserve">), geraadpleegd op 16 oktober 2026. Begrazingsdieren zijn beheereigenschappen en worden door deze migratie geen wilde soortwaarnemingen.</w:t>
      </w:r>
    </w:p>
    <w:p>
      <w:pPr>
        <w:pStyle w:val="Heading2"/>
      </w:pPr>
      <w:bookmarkStart w:id="110" w:name="_bbb680e0e85eb3eb154bfc12bc9c8fc0b3d6d97"/>
      <w:r>
        <w:t xml:space="preserve">Rechtstreekse aansluiting zonder compatibiliteitsviews</w:t>
      </w:r>
      <w:bookmarkEnd w:id="110"/>
    </w:p>
    <w:p>
      <w:pPr>
        <w:pStyle w:val="FirstParagraph"/>
      </w:pPr>
      <w:r>
        <w:t xml:space="preserve">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pPr>
        <w:pStyle w:val="BodyText"/>
      </w:pPr>
      <w:r>
        <w:t xml:space="preserve">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pPr>
        <w:pStyle w:val="BodyText"/>
      </w:pPr>
      <w:r>
        <w:t xml:space="preserve">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pPr>
        <w:pStyle w:val="BodyText"/>
      </w:pPr>
      <w:r>
        <w:t xml:space="preserve">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pPr>
        <w:pStyle w:val="BodyText"/>
      </w:pPr>
      <w:r>
        <w:t xml:space="preserve">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gis/audit/externe_ecologie_fase1_2_manifest.json" TargetMode="External"/><Relationship Id="rId102" Type="http://schemas.openxmlformats.org/officeDocument/2006/relationships/hyperlink" Target="bronnen/MEIJENDEL_BRONNEN.md" TargetMode="External"/><Relationship Id="rId103" Type="http://schemas.openxmlformats.org/officeDocument/2006/relationships/hyperlink" Target="bronnen/audits/MEIJENDEL_BRONNEN_AUDIT.md" TargetMode="External"/><Relationship Id="rId101" Type="http://schemas.openxmlformats.org/officeDocument/2006/relationships/hyperlink" Target="bronnen/audits/NDFF_PROTOCOLAUDIT.md" TargetMode="External"/><Relationship Id="rId100" Type="http://schemas.openxmlformats.org/officeDocument/2006/relationships/hyperlink" Target="bronnen/bronvergelijkingen/NDFF_STAGINGDATASET.md" TargetMode="External"/><Relationship Id="rId104" Type="http://schemas.openxmlformats.org/officeDocument/2006/relationships/hyperlink" Target="bronnen/importbesluiten/DUINVALLEI_VEGETATIE.md" TargetMode="External"/><Relationship Id="rId105" Type="http://schemas.openxmlformats.org/officeDocument/2006/relationships/hyperlink" Target="bronnen/importbesluiten/MEIJENDEL_RUIMTELIJKE_LAGEN.md" TargetMode="External"/><Relationship Id="rId106" Type="http://schemas.openxmlformats.org/officeDocument/2006/relationships/hyperlink" Target="bronnen/importbesluiten/NDFF_SECURE_ONTVANGST.md" TargetMode="External"/><Relationship Id="rId40" Type="http://schemas.openxmlformats.org/officeDocument/2006/relationships/hyperlink" Target="database/TAXONREGISTER.md" TargetMode="External"/><Relationship Id="rId11" Type="http://schemas.openxmlformats.org/officeDocument/2006/relationships/hyperlink" Target="http://www.synbiosys.alterra.nl/turboveg/" TargetMode="External"/><Relationship Id="rId85" Type="http://schemas.openxmlformats.org/officeDocument/2006/relationships/hyperlink" Target="https://doi.org/10.1007/s10531-025-03175-x" TargetMode="External"/><Relationship Id="rId79" Type="http://schemas.openxmlformats.org/officeDocument/2006/relationships/hyperlink" Target="https://doi.org/10.1371/journal.pone.0099852" TargetMode="External"/><Relationship Id="rId19" Type="http://schemas.openxmlformats.org/officeDocument/2006/relationships/hyperlink" Target="https://doi.org/10.15468/adsbxs" TargetMode="External"/><Relationship Id="rId81" Type="http://schemas.openxmlformats.org/officeDocument/2006/relationships/hyperlink" Target="https://doi.org/10.17026/DANS-28X-UT8Q" TargetMode="External"/><Relationship Id="rId77" Type="http://schemas.openxmlformats.org/officeDocument/2006/relationships/hyperlink" Target="https://doi.org/10.5061/dryad.8cz8w9gnc" TargetMode="External"/><Relationship Id="rId59" Type="http://schemas.openxmlformats.org/officeDocument/2006/relationships/hyperlink" Target="https://doi.org/10.5281/zenodo.21796880" TargetMode="External"/><Relationship Id="rId75" Type="http://schemas.openxmlformats.org/officeDocument/2006/relationships/hyperlink" Target="https://doi.org/10.6084/m9.figshare.25425601.v1" TargetMode="External"/><Relationship Id="rId108" Type="http://schemas.openxmlformats.org/officeDocument/2006/relationships/hyperlink" Target="https://dwc.tdwg.org/terms/" TargetMode="External"/><Relationship Id="rId89" Type="http://schemas.openxmlformats.org/officeDocument/2006/relationships/hyperlink" Target="https://edepot.wur.nl/183358" TargetMode="External"/><Relationship Id="rId87" Type="http://schemas.openxmlformats.org/officeDocument/2006/relationships/hyperlink" Target="https://edepot.wur.nl/393293" TargetMode="External"/><Relationship Id="rId88" Type="http://schemas.openxmlformats.org/officeDocument/2006/relationships/hyperlink" Target="https://pas.ecologischeautoriteit.nl/files/ea/5004/011152-5004-cultuursporen-in-het-duin.pdf" TargetMode="External"/><Relationship Id="rId72" Type="http://schemas.openxmlformats.org/officeDocument/2006/relationships/hyperlink" Target="https://repository.naturalis.nl/pub/317221" TargetMode="External"/><Relationship Id="rId70" Type="http://schemas.openxmlformats.org/officeDocument/2006/relationships/hyperlink" Target="https://repository.naturalis.nl/pub/317242" TargetMode="External"/><Relationship Id="rId109" Type="http://schemas.openxmlformats.org/officeDocument/2006/relationships/hyperlink" Target="https://tcs.tdwg.org/terms/" TargetMode="External"/><Relationship Id="rId84" Type="http://schemas.openxmlformats.org/officeDocument/2006/relationships/hyperlink" Target="https://www.ahn.nl/dataroom" TargetMode="External"/><Relationship Id="rId56" Type="http://schemas.openxmlformats.org/officeDocument/2006/relationships/hyperlink" Target="https://www.vwg-m.nl/meijendel/index.asp"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gis/audit/externe_ecologie_fase1_2_manifest.json" TargetMode="External"/><Relationship Id="rId102" Type="http://schemas.openxmlformats.org/officeDocument/2006/relationships/hyperlink" Target="bronnen/MEIJENDEL_BRONNEN.md" TargetMode="External"/><Relationship Id="rId103" Type="http://schemas.openxmlformats.org/officeDocument/2006/relationships/hyperlink" Target="bronnen/audits/MEIJENDEL_BRONNEN_AUDIT.md" TargetMode="External"/><Relationship Id="rId101" Type="http://schemas.openxmlformats.org/officeDocument/2006/relationships/hyperlink" Target="bronnen/audits/NDFF_PROTOCOLAUDIT.md" TargetMode="External"/><Relationship Id="rId100" Type="http://schemas.openxmlformats.org/officeDocument/2006/relationships/hyperlink" Target="bronnen/bronvergelijkingen/NDFF_STAGINGDATASET.md" TargetMode="External"/><Relationship Id="rId104" Type="http://schemas.openxmlformats.org/officeDocument/2006/relationships/hyperlink" Target="bronnen/importbesluiten/DUINVALLEI_VEGETATIE.md" TargetMode="External"/><Relationship Id="rId105" Type="http://schemas.openxmlformats.org/officeDocument/2006/relationships/hyperlink" Target="bronnen/importbesluiten/MEIJENDEL_RUIMTELIJKE_LAGEN.md" TargetMode="External"/><Relationship Id="rId106" Type="http://schemas.openxmlformats.org/officeDocument/2006/relationships/hyperlink" Target="bronnen/importbesluiten/NDFF_SECURE_ONTVANGST.md" TargetMode="External"/><Relationship Id="rId40" Type="http://schemas.openxmlformats.org/officeDocument/2006/relationships/hyperlink" Target="database/TAXONREGISTER.md" TargetMode="External"/><Relationship Id="rId11" Type="http://schemas.openxmlformats.org/officeDocument/2006/relationships/hyperlink" Target="http://www.synbiosys.alterra.nl/turboveg/" TargetMode="External"/><Relationship Id="rId85" Type="http://schemas.openxmlformats.org/officeDocument/2006/relationships/hyperlink" Target="https://doi.org/10.1007/s10531-025-03175-x" TargetMode="External"/><Relationship Id="rId79" Type="http://schemas.openxmlformats.org/officeDocument/2006/relationships/hyperlink" Target="https://doi.org/10.1371/journal.pone.0099852" TargetMode="External"/><Relationship Id="rId19" Type="http://schemas.openxmlformats.org/officeDocument/2006/relationships/hyperlink" Target="https://doi.org/10.15468/adsbxs" TargetMode="External"/><Relationship Id="rId81" Type="http://schemas.openxmlformats.org/officeDocument/2006/relationships/hyperlink" Target="https://doi.org/10.17026/DANS-28X-UT8Q" TargetMode="External"/><Relationship Id="rId77" Type="http://schemas.openxmlformats.org/officeDocument/2006/relationships/hyperlink" Target="https://doi.org/10.5061/dryad.8cz8w9gnc" TargetMode="External"/><Relationship Id="rId59" Type="http://schemas.openxmlformats.org/officeDocument/2006/relationships/hyperlink" Target="https://doi.org/10.5281/zenodo.21796880" TargetMode="External"/><Relationship Id="rId75" Type="http://schemas.openxmlformats.org/officeDocument/2006/relationships/hyperlink" Target="https://doi.org/10.6084/m9.figshare.25425601.v1" TargetMode="External"/><Relationship Id="rId108" Type="http://schemas.openxmlformats.org/officeDocument/2006/relationships/hyperlink" Target="https://dwc.tdwg.org/terms/" TargetMode="External"/><Relationship Id="rId89" Type="http://schemas.openxmlformats.org/officeDocument/2006/relationships/hyperlink" Target="https://edepot.wur.nl/183358" TargetMode="External"/><Relationship Id="rId87" Type="http://schemas.openxmlformats.org/officeDocument/2006/relationships/hyperlink" Target="https://edepot.wur.nl/393293" TargetMode="External"/><Relationship Id="rId88" Type="http://schemas.openxmlformats.org/officeDocument/2006/relationships/hyperlink" Target="https://pas.ecologischeautoriteit.nl/files/ea/5004/011152-5004-cultuursporen-in-het-duin.pdf" TargetMode="External"/><Relationship Id="rId72" Type="http://schemas.openxmlformats.org/officeDocument/2006/relationships/hyperlink" Target="https://repository.naturalis.nl/pub/317221" TargetMode="External"/><Relationship Id="rId70" Type="http://schemas.openxmlformats.org/officeDocument/2006/relationships/hyperlink" Target="https://repository.naturalis.nl/pub/317242" TargetMode="External"/><Relationship Id="rId109" Type="http://schemas.openxmlformats.org/officeDocument/2006/relationships/hyperlink" Target="https://tcs.tdwg.org/terms/" TargetMode="External"/><Relationship Id="rId84" Type="http://schemas.openxmlformats.org/officeDocument/2006/relationships/hyperlink" Target="https://www.ahn.nl/dataroom" TargetMode="External"/><Relationship Id="rId56" Type="http://schemas.openxmlformats.org/officeDocument/2006/relationships/hyperlink" Target="https://www.vwg-m.nl/meijendel/index.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2026-10-19T14:18:44Z</dcterms:created>
  <dcterms:modified xsi:type="dcterms:W3CDTF">2026-10-19T14:18:44Z</dcterms:modified>
</cp:coreProperties>
</file>

<file path=docProps/custom.xml><?xml version="1.0" encoding="utf-8"?>
<Properties xmlns="http://schemas.openxmlformats.org/officeDocument/2006/custom-properties" xmlns:vt="http://schemas.openxmlformats.org/officeDocument/2006/docPropsVTypes"/>
</file>