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33</w:t>
            </w:r>
          </w:p>
        </w:tc>
        <w:tc>
          <w:tcPr/>
          <w:p>
            <w:pPr>
              <w:pStyle w:val="Compact"/>
            </w:pPr>
            <w:r>
              <w:t xml:space="preserve">23 lokaal geraadpleegde Zotero-bronnen en tien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63</w:t>
            </w:r>
          </w:p>
        </w:tc>
        <w:tc>
          <w:tcPr/>
          <w:p>
            <w:pPr>
              <w:pStyle w:val="Compact"/>
            </w:pPr>
            <w:r>
              <w:t xml:space="preserve">Afzonderlijke werkzaamheden of expliciet niet-uitgevoerde, onbekende of geplande activiteiten. Het werk in Meeuwenduin en Prinsenduin is voor 2023 en 2024 ruimtelijk gesplitst; de afgeronde Bendel-herinrichting en het geplande nabeheer zijn afzonderlijke uitvoeringen.</w:t>
            </w:r>
          </w:p>
        </w:tc>
      </w:tr>
      <w:tr>
        <w:tc>
          <w:tcPr/>
          <w:p>
            <w:pPr>
              <w:pStyle w:val="Compact"/>
            </w:pPr>
            <w:r>
              <w:rPr>
                <w:rStyle w:val="VerbatimChar"/>
              </w:rPr>
              <w:t xml:space="preserve">maatregel_uitvoering_jaar</w:t>
            </w:r>
          </w:p>
        </w:tc>
        <w:tc>
          <w:tcPr/>
          <w:p>
            <w:pPr>
              <w:pStyle w:val="Compact"/>
              <w:jc w:val="right"/>
            </w:pPr>
            <w:r>
              <w:t xml:space="preserve">102</w:t>
            </w:r>
          </w:p>
        </w:tc>
        <w:tc>
          <w:tcPr/>
          <w:p>
            <w:pPr>
              <w:pStyle w:val="Compact"/>
            </w:pPr>
            <w:r>
              <w:t xml:space="preserve">Letterlijk onderbouwde jaarstatussen uit 1967–2026: 86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86</w:t>
            </w:r>
          </w:p>
        </w:tc>
        <w:tc>
          <w:tcPr/>
          <w:p>
            <w:pPr>
              <w:pStyle w:val="Compact"/>
            </w:pPr>
            <w:r>
              <w:t xml:space="preserve">Relaties tussen uitvoering en bewijsbron, met bronrol en bewijsnotitie.</w:t>
            </w:r>
          </w:p>
        </w:tc>
      </w:tr>
      <w:tr>
        <w:tc>
          <w:tcPr/>
          <w:p>
            <w:pPr>
              <w:pStyle w:val="Compact"/>
            </w:pPr>
            <w:r>
              <w:rPr>
                <w:rStyle w:val="VerbatimChar"/>
              </w:rPr>
              <w:t xml:space="preserve">maatregel_uitvoering_plotscope</w:t>
            </w:r>
          </w:p>
        </w:tc>
        <w:tc>
          <w:tcPr/>
          <w:p>
            <w:pPr>
              <w:pStyle w:val="Compact"/>
              <w:jc w:val="right"/>
            </w:pPr>
            <w:r>
              <w:t xml:space="preserve">2</w:t>
            </w:r>
          </w:p>
        </w:tc>
        <w:tc>
          <w:tcPr/>
          <w:p>
            <w:pPr>
              <w:pStyle w:val="Compact"/>
            </w:pPr>
            <w:r>
              <w:t xml:space="preserve">Expliciete beoordeling of een uitvoering binnen de 55 Meijendel-plots valt. De Bendel-herinrichting en het Bendel-nabeheer zijn beide geverifieerd als</w:t>
            </w:r>
            <w:r>
              <w:t xml:space="preserve"> </w:t>
            </w:r>
            <w:r>
              <w:rPr>
                <w:rStyle w:val="VerbatimChar"/>
              </w:rPr>
              <w:t xml:space="preserve">buiten_meijendel_plotgebied</w:t>
            </w:r>
            <w:r>
              <w:t xml:space="preserv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116</w:t>
            </w:r>
          </w:p>
        </w:tc>
        <w:tc>
          <w:tcPr/>
          <w:p>
            <w:pPr>
              <w:pStyle w:val="Compact"/>
            </w:pPr>
            <w:r>
              <w:t xml:space="preserve">36 eerder onderbouwde relaties; 32 relaties via de nameninventaris; 11 voor Pan 13 en Plas 20; telkens 3 voor Helmduinen, Kikkervalleienbegrazing, bodemherstel, infrastructuur en Watercrassula; telkens 1 voor Parnassiapad 1, Parnassiapad 2, Plas 8.4.2, het elektriciteitswerk in M51 en de Paardenstal in M51; 2 voor Waalsdorp; 13 voor Meeuwenduin en Prinsenduin; en 2 voor de konijnenbijplaatsingsproef. De exacte werkoppervlakken per kavel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170</w:t>
            </w:r>
          </w:p>
        </w:tc>
        <w:tc>
          <w:tcPr/>
          <w:p>
            <w:pPr>
              <w:pStyle w:val="Compact"/>
            </w:pPr>
            <w:r>
              <w:t xml:space="preserve">Bronvaste plot-jaarregels voor 1967–1969, 1972–1975, 1988–1991, 1993, 1997, 2002, 2005–2006 en 2017–2025. Hieronder vallen Meeuwenduin en Prinsenduin in negen kavels in 2023, alleen Prinsenduin in M2, M3, M35 en M36 in 2024, Waalsdorp in M84 en M43 in 2016–2019, Parnassiapad 1 in M15 rond 1997, de konijnenbijplaatsingsproef in M8 en M41 in 2024 en de slibverwijdering in Plas 8.4.2 in M32 in 2002.</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2026-10-15T10:30:04Z</dcterms:created>
  <dcterms:modified xsi:type="dcterms:W3CDTF">2026-10-15T10:30:04Z</dcterms:modified>
</cp:coreProperties>
</file>

<file path=docProps/custom.xml><?xml version="1.0" encoding="utf-8"?>
<Properties xmlns="http://schemas.openxmlformats.org/officeDocument/2006/custom-properties" xmlns:vt="http://schemas.openxmlformats.org/officeDocument/2006/docPropsVTypes"/>
</file>