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34</w:t>
            </w:r>
          </w:p>
        </w:tc>
        <w:tc>
          <w:tcPr/>
          <w:p>
            <w:pPr>
              <w:pStyle w:val="Compact"/>
            </w:pPr>
            <w:r>
              <w:t xml:space="preserve">24 lokaal geraadpleegde Zotero-bronnen en tien officiële webbronnen, ieder met type, datum, status en raadpleegdatum. Van der Hagen et al. (2020) is als ruimtelijke plancontext voor Prinsenduin toegevoegd.</w:t>
            </w:r>
          </w:p>
        </w:tc>
      </w:tr>
      <w:tr>
        <w:tc>
          <w:tcPr/>
          <w:p>
            <w:pPr>
              <w:pStyle w:val="Compact"/>
            </w:pPr>
            <w:r>
              <w:rPr>
                <w:rStyle w:val="VerbatimChar"/>
              </w:rPr>
              <w:t xml:space="preserve">maatregel_uitvoering</w:t>
            </w:r>
          </w:p>
        </w:tc>
        <w:tc>
          <w:tcPr/>
          <w:p>
            <w:pPr>
              <w:pStyle w:val="Compact"/>
              <w:jc w:val="right"/>
            </w:pPr>
            <w:r>
              <w:t xml:space="preserve">63</w:t>
            </w:r>
          </w:p>
        </w:tc>
        <w:tc>
          <w:tcPr/>
          <w:p>
            <w:pPr>
              <w:pStyle w:val="Compact"/>
            </w:pPr>
            <w:r>
              <w:t xml:space="preserve">Afzonderlijke werkzaamheden of expliciet niet-uitgevoerde, onbekende of geplande activiteiten. Het werk in Meeuwenduin en Prinsenduin is voor 2023 en 2024 ruimtelijk gesplitst; de afgeronde Bendel-herinrichting en het geplande nabeheer zijn afzonderlijke uitvoeringen.</w:t>
            </w:r>
          </w:p>
        </w:tc>
      </w:tr>
      <w:tr>
        <w:tc>
          <w:tcPr/>
          <w:p>
            <w:pPr>
              <w:pStyle w:val="Compact"/>
            </w:pPr>
            <w:r>
              <w:rPr>
                <w:rStyle w:val="VerbatimChar"/>
              </w:rPr>
              <w:t xml:space="preserve">maatregel_uitvoering_jaar</w:t>
            </w:r>
          </w:p>
        </w:tc>
        <w:tc>
          <w:tcPr/>
          <w:p>
            <w:pPr>
              <w:pStyle w:val="Compact"/>
              <w:jc w:val="right"/>
            </w:pPr>
            <w:r>
              <w:t xml:space="preserve">102</w:t>
            </w:r>
          </w:p>
        </w:tc>
        <w:tc>
          <w:tcPr/>
          <w:p>
            <w:pPr>
              <w:pStyle w:val="Compact"/>
            </w:pPr>
            <w:r>
              <w:t xml:space="preserve">Letterlijk onderbouwde jaarstatussen uit 1967–2026: 86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88</w:t>
            </w:r>
          </w:p>
        </w:tc>
        <w:tc>
          <w:tcPr/>
          <w:p>
            <w:pPr>
              <w:pStyle w:val="Compact"/>
            </w:pPr>
            <w:r>
              <w:t xml:space="preserve">Relaties tussen uitvoering en bewijsbron, met bronrol en bewijsnotitie. De twee Prinsenduin-uitvoeringen verwijzen aanvullend naar figuur 1 van Van der Hagen et al. (2020).</w:t>
            </w:r>
          </w:p>
        </w:tc>
      </w:tr>
      <w:tr>
        <w:tc>
          <w:tcPr/>
          <w:p>
            <w:pPr>
              <w:pStyle w:val="Compact"/>
            </w:pPr>
            <w:r>
              <w:rPr>
                <w:rStyle w:val="VerbatimChar"/>
              </w:rPr>
              <w:t xml:space="preserve">maatregel_uitvoering_plotscope</w:t>
            </w:r>
          </w:p>
        </w:tc>
        <w:tc>
          <w:tcPr/>
          <w:p>
            <w:pPr>
              <w:pStyle w:val="Compact"/>
              <w:jc w:val="right"/>
            </w:pPr>
            <w:r>
              <w:t xml:space="preserve">2</w:t>
            </w:r>
          </w:p>
        </w:tc>
        <w:tc>
          <w:tcPr/>
          <w:p>
            <w:pPr>
              <w:pStyle w:val="Compact"/>
            </w:pPr>
            <w:r>
              <w:t xml:space="preserve">Expliciete beoordeling of een uitvoering binnen de 55 Meijendel-plots valt. De Bendel-herinrichting en het Bendel-nabeheer zijn beide geverifieerd als</w:t>
            </w:r>
            <w:r>
              <w:t xml:space="preserve"> </w:t>
            </w:r>
            <w:r>
              <w:rPr>
                <w:rStyle w:val="VerbatimChar"/>
              </w:rPr>
              <w:t xml:space="preserve">buiten_meijendel_plotgebied</w:t>
            </w:r>
            <w:r>
              <w:t xml:space="preserve">.</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125</w:t>
            </w:r>
          </w:p>
        </w:tc>
        <w:tc>
          <w:tcPr/>
          <w:p>
            <w:pPr>
              <w:pStyle w:val="Compact"/>
            </w:pPr>
            <w:r>
              <w:t xml:space="preserve">Helmduinen is gekoppeld aan M15 en M16; M17a is retroactief verwijderd. Meeuwenduin en Prinsenduin hebben samen zeven relaties: vijf voor Meeuwenhoek plus M17a in 2023, en M17a in 2024. Het maaibeheer in Ruygenhoek, Lange Strook en De Loopert heeft vijf relaties: M1a, M1b, M32, M45 en M83. Maatregel 22h heeft zes relaties: M13s, M15, M16, M17a, M77 en M78/79. Eerdere Prinsenduin-relaties met M2, M3, M35 en M36 zijn verwijderd. De exacte werkoppervlakken per kavel blijven onbekend.</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177</w:t>
            </w:r>
          </w:p>
        </w:tc>
        <w:tc>
          <w:tcPr/>
          <w:p>
            <w:pPr>
              <w:pStyle w:val="Compact"/>
            </w:pPr>
            <w:r>
              <w:t xml:space="preserve">Bronvaste plot-jaarregels voor 1967–1969, 1972–1975, 1988–1991, 1993, 1997, 2002, 2005–2006 en 2016–2025. Meeuwenduin en Prinsenduin leveren zes regels in 2023 en één voor M17a in 2024. Maatregel 22h levert twaalf scoperegels voor zes kavels in 2016 en 2017; de bron verdeelt de werkzaamheden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2026-10-15T15:12:03Z</dcterms:created>
  <dcterms:modified xsi:type="dcterms:W3CDTF">2026-10-15T15:12:03Z</dcterms:modified>
</cp:coreProperties>
</file>

<file path=docProps/custom.xml><?xml version="1.0" encoding="utf-8"?>
<Properties xmlns="http://schemas.openxmlformats.org/officeDocument/2006/custom-properties" xmlns:vt="http://schemas.openxmlformats.org/officeDocument/2006/docPropsVTypes"/>
</file>