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dea145a7474320bcc321aebaf5687f9ab4d02fb"/>
      <w:r>
        <w:t xml:space="preserve">Bronregister ecologische gegevens Meijendel</w:t>
      </w:r>
      <w:bookmarkEnd w:id="9"/>
    </w:p>
    <w:p>
      <w:pPr>
        <w:pStyle w:val="FirstParagraph"/>
      </w:pPr>
      <w:r>
        <w:rPr>
          <w:b/>
          <w:bCs/>
        </w:rPr>
        <w:t>Stand: 17 oktober 2026.</w:t>
      </w:r>
    </w:p>
    <w:p>
      <w:pPr>
        <w:pStyle w:val="BodyText"/>
      </w:pPr>
      <w:r>
        <w:t xml:space="preserve">Dit register bevat informatie over:</w:t>
      </w:r>
    </w:p>
    <w:p>
      <w:pPr>
        <w:pStyle w:val="FirstParagraph"/>
        <w:numPr>
          <w:ilvl w:val="0"/>
          <w:numId w:val="1001"/>
        </w:numPr>
      </w:pPr>
      <w:r>
        <w:t xml:space="preserve">ecologische gegevens van Meijendel;</w:t>
      </w:r>
    </w:p>
    <w:p>
      <w:pPr>
        <w:pStyle w:val="FirstParagraph"/>
        <w:numPr>
          <w:ilvl w:val="0"/>
          <w:numId w:val="1001"/>
        </w:numPr>
      </w:pPr>
      <w:r>
        <w:t xml:space="preserve">waar die gegevens staan in GitHub;</w:t>
      </w:r>
    </w:p>
    <w:p>
      <w:pPr>
        <w:pStyle w:val="FirstParagraph"/>
        <w:numPr>
          <w:ilvl w:val="0"/>
          <w:numId w:val="1001"/>
        </w:numPr>
      </w:pPr>
      <w:r>
        <w:t xml:space="preserve">wie de oorspronkelijke bron beheert; en</w:t>
      </w:r>
    </w:p>
    <w:p>
      <w:pPr>
        <w:pStyle w:val="FirstParagraph"/>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p>
      <w:pPr>
        <w:pStyle w:val="Heading2"/>
      </w:pPr>
      <w:bookmarkStart w:id="10" w:name="_2ca0d7580c0a389f0f36b624cbb3f91d53fb356"/>
      <w:r>
        <w:t xml:space="preserve">De statussen</w:t>
      </w:r>
      <w:bookmarkEnd w:id="10"/>
    </w:p>
    <w:p>
      <w:pPr>
        <w:pStyle w:val="FirstParagraph"/>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pStyle w:val="FirstParagraph"/>
        <w:numPr>
          <w:ilvl w:val="0"/>
          <w:numId w:val="1002"/>
        </w:numPr>
      </w:pPr>
      <w:r>
        <w:rPr>
          <w:b/>
          <w:bCs/>
        </w:rPr>
        <w:t xml:space="preserve">Voorwaardelijk bruikbaar</w:t>
      </w:r>
      <w:r>
        <w:t xml:space="preserve">: positieve waarnemingen zijn bruikbaar, maar voor trends ontbreekt nog een deel van de oorspronkelijke meetstructuur.</w:t>
      </w:r>
    </w:p>
    <w:p>
      <w:pPr>
        <w:pStyle w:val="FirstParagraph"/>
        <w:numPr>
          <w:ilvl w:val="0"/>
          <w:numId w:val="1002"/>
        </w:numPr>
      </w:pPr>
      <w:r>
        <w:rPr>
          <w:b/>
          <w:bCs/>
        </w:rPr>
        <w:t xml:space="preserve">Context</w:t>
      </w:r>
      <w:r>
        <w:t xml:space="preserve">: de bron is inhoudelijk relevant, maar mag niet in de gewone Meijendel-analyses worden gebruikt omdat de locatie per waarneming ontbreekt.</w:t>
      </w:r>
    </w:p>
    <w:p>
      <w:pPr>
        <w:pStyle w:val="FirstParagraph"/>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pStyle w:val="FirstParagraph"/>
        <w:numPr>
          <w:ilvl w:val="0"/>
          <w:numId w:val="1003"/>
        </w:numPr>
      </w:pPr>
      <w:r>
        <w:t xml:space="preserve">de vogelreeks, provinciale PQ-reeks, bevestigde SOVON-zoogdierbezoeken en historische vangblikreeks zijn nu de sterkste statistische bronnen;</w:t>
      </w:r>
    </w:p>
    <w:p>
      <w:pPr>
        <w:pStyle w:val="FirstParagraph"/>
        <w:numPr>
          <w:ilvl w:val="0"/>
          <w:numId w:val="1003"/>
        </w:numPr>
      </w:pPr>
      <w:r>
        <w:t xml:space="preserve">de NDFF-laag is omvangrijk, maar ondersteunt zonder aanvullende meetstructuur vooral verspreidingsonderzoek;</w:t>
      </w:r>
    </w:p>
    <w:p>
      <w:pPr>
        <w:pStyle w:val="FirstParagraph"/>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pStyle w:val="FirstParagraph"/>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p>
      <w:pPr>
        <w:pStyle w:val="FirstParagraph"/>
      </w:pPr>
      <w:r>
        <w:rPr>
          <w:b/>
          <w:bCs/>
        </w:rPr>
        <w:t xml:space="preserve">Taxonomisch register aangevuld en centraal opgeschoond, stand 3 oktober 2026.</w:t>
      </w:r>
      <w:r>
        <w:t xml:space="preserve"> </w:t>
      </w:r>
      <w:r>
        <w:t xml:space="preserve">De levende lokale database bevat 27 praktische groepen en 11.660 centrale vermeldingen: 11.659 naamvermeldingen en één uitdrukkelijk onbepaald operationeel collectieobject. De tabel met bronkoppelingen bevat 30.057 rijen: alle 18.437 oorspronkelijke bronbesluiten, drie eerdere identificatie-aliassen, 6.121 volledig bewaarde oorspronkelijke taxoncontexten, 5.495 aanvullende brongebruiken voor afgeleide meet-/doelsoortregels en de koppeling van het onbepaalde object. Er zijn 29.970 actieve koppelingen en 87 als eerdere versies bewaarde koppelingen.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bCs/>
        </w:rPr>
        <w:t xml:space="preserve">Alle soortwaarnemingen centraal bereikbaar, 29 september 2026.</w:t>
      </w:r>
      <w:r>
        <w:t xml:space="preserve"> </w:t>
      </w:r>
      <w:r>
        <w:t xml:space="preserve">Vanuit taxa, taxa_bronkoppeling en taxon_groepen zijn alle oorspronkelijke soortwaarnemingen, afgeleide meetregels, echte nullen en historische versies in Meijendel bereikbaar. De volledige inventarisatie van 273 basistabellen geeft 127 beoordeelde routes, zonder ontbrekende koppelingen of vermenigvuldiging van soortregels. Dit omvat ook alle LVD-resultaten binnen en buiten pq_* en de vijf afzonderlijk opgeslagen externe bronnen. Alle oorspronkelijke gegevens, bronwaarden, interne verwijzingen, analysebeperkingen en 16 bestaande viewuitkomsten zijn behouden. Terugdraaien, onafhankelijk volledig herstel en levende nacontrole zijn geslaagd. Iedere volgende databasewijziging wordt vóór en na uitvoering volledig gecontroleerd; 267 rijtriggers beschermen bestaande bronidentiteiten en verwijzingen. Nieuwe gegevenslagen moeten expliciet in die controle worden opgenomen. Geen VPS-publicatie. De fysieke verplaatsing van resterende PQ/LVD-inhoud is een afzonderlijke, nog open taak. Uitvoering, aantallen per bron en periode, querygebruik en herstelbewijs staan in docs/database/TAXONREGISTER.md.</w:t>
      </w:r>
    </w:p>
    <w:p>
      <w:pPr>
        <w:pStyle w:val="BodyText"/>
      </w:pPr>
      <w:r>
        <w:rPr>
          <w:b/>
          <w:bCs/>
        </w:rPr>
        <w:t xml:space="preserve">Gerichte taxonfusie, 28 en 29 september 2026.</w:t>
      </w:r>
      <w:r>
        <w:t xml:space="preserve"> </w:t>
      </w:r>
      <w:r>
        <w:t xml:space="preserve">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w:t>
      </w:r>
      <w:r>
        <w:t xml:space="preserve"> </w:t>
      </w:r>
      <w:r>
        <w:rPr>
          <w:rStyle w:val="VerbatimChar"/>
        </w:rPr>
        <w:t xml:space="preserve">docs/database/TAXONREGISTER.md</w:t>
      </w:r>
      <w:r>
        <w:t xml:space="preserve">.</w:t>
      </w:r>
    </w:p>
    <w:p>
      <w:pPr>
        <w:pStyle w:val="BodyText"/>
      </w:pPr>
      <w:r>
        <w:t xml:space="preserve">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 www.synbiosys.alterra.nl/turboveg/, bevat 17.468 codes. De oorspronkelijke PQ-waarden en eerdere besluiten blijven behouden.</w:t>
      </w:r>
    </w:p>
    <w:p>
      <w:pPr>
        <w:pStyle w:val="BodyText"/>
      </w:pPr>
      <w:r>
        <w:t xml:space="preserve">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pStyle w:val="BodyText"/>
      </w:pPr>
      <w:r>
        <w:t xml:space="preserve">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pStyle w:val="BodyText"/>
      </w:pPr>
      <w:r>
        <w:t xml:space="preserve">De eerdere beoordeling liet 278 bronregistraties zonder primaire groep. Na centralisatie en de onderbouwde fusies zijn er 235 centrale naamvermeldingen zonder primaire groep, plus het onbepaalde operationele collectieobject.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 Een ontbrekende groep sluit geen waarneming uit van de centrale zoekroute.</w:t>
      </w:r>
    </w:p>
    <w:p>
      <w:pPr>
        <w:pStyle w:val="BodyText"/>
      </w:pPr>
      <w:r>
        <w:t xml:space="preserve">Twee oorspronkelijke actieve bronbesluiten blijven inhoudelijk onbeoordeeld en zonder biologisch doeltaxon. Naturalis-Indet. benoemt geen taxon; zijn ene collectieobject uit 2018 is nu via een aanvullende, uitdrukkelijk onbepaalde operationele koppeling centraal bereikbaar. Bij Toendrarietgans ontbreekt de wetenschappelijke bronnaam en strookt lokale code 1582 niet met de actuele EURING-code 01574. Deze bronregel wordt alleen gebruikt in twee beleidsreferentierijen en niet in vogelwaarnemingen; een nieuwe waarneming met deze onopgeloste sleutel wordt geweigerd. De 263 oorspronkelijke vogelnaamgebruiken, koppelingnummers en bronbesluiten zijn volledig bewaard. De eerdere registeraanvulling en taxonfusie en de huidige volledige waarnemingskoppeling zijn afzonderlijk gecontroleerd. Website, dashboard en Shiny zijn niet aangepast. Details en herstelbewijs staan in docs/database/TAXONREGISTER.md.</w:t>
      </w:r>
    </w:p>
    <w:p>
      <w:pPr>
        <w:pStyle w:val="Heading2"/>
      </w:pPr>
      <w:bookmarkStart w:id="11" w:name="_4a53154a1633e588416373f70b0c468114c0efc"/>
      <w:r>
        <w:t xml:space="preserve">Overkoepelende analysegeschiktheid</w:t>
      </w:r>
      <w:bookmarkEnd w:id="11"/>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p>
      <w:pPr>
        <w:pStyle w:val="Heading2"/>
      </w:pPr>
      <w:bookmarkStart w:id="12" w:name="_beheerregel"/>
      <w:r>
        <w:t xml:space="preserve">Beheerregel</w:t>
      </w:r>
      <w:bookmarkEnd w:id="12"/>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Iedere wijziging van Meijendel vereist ook de volledige voor- en nacontrole van de bereikbaarheid van alle soortwaarnemingen via het centrale taxonregister. De Markdown-versie is leidend; de Wordversie wordt in dezelfde wijziging inhoudelijk gelijkgetrokken, gerenderd en gecontroleerd.</w:t>
      </w:r>
    </w:p>
    <w:p>
      <w:pPr>
        <w:pStyle w:val="Heading2"/>
      </w:pPr>
      <w:bookmarkStart w:id="13" w:name="_7243eacc1b8f4fc7d12d9437ed06490b9a892ca"/>
      <w:r>
        <w:t xml:space="preserve">1. Bronnen in MySQL-database</w:t>
      </w:r>
      <w:r>
        <w:t xml:space="preserve"> </w:t>
      </w:r>
      <w:r>
        <w:rPr>
          <w:rStyle w:val="VerbatimChar"/>
        </w:rPr>
        <w:t xml:space="preserve">Meijendel</w:t>
      </w:r>
      <w:bookmarkEnd w:id="13"/>
    </w:p>
    <w:p>
      <w:pPr>
        <w:pStyle w:val="Heading3"/>
      </w:pPr>
      <w:bookmarkStart w:id="14" w:name="_ccd8cb4345e3f59364194a2576f706cc2c0a66e"/>
      <w:r>
        <w:t xml:space="preserve">1.1. Vogelgegevens van Vogelwerkgroep Meijendel en SOVON</w:t>
      </w:r>
      <w:bookmarkEnd w:id="14"/>
    </w:p>
    <w:p>
      <w:pPr>
        <w:pStyle w:val="FirstParagraph"/>
      </w:pPr>
      <w:r>
        <w:rPr>
          <w:b/>
          <w:bCs/>
        </w:rPr>
        <w:t xml:space="preserve">Omvang en periode.</w:t>
      </w:r>
      <w:r>
        <w:t xml:space="preserve"> </w:t>
      </w:r>
      <w:r>
        <w:t xml:space="preserve">De database bevat 1.097.599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p>
      <w:pPr>
        <w:pStyle w:val="BodyText"/>
      </w:pPr>
      <w:r>
        <w:rPr>
          <w:b/>
          <w:bCs/>
        </w:rPr>
        <w:t xml:space="preserve">Aanvullende SOVON-jaarleveringen, 2 oktober 2026.</w:t>
      </w:r>
      <w:r>
        <w:t xml:space="preserve"> </w:t>
      </w:r>
      <w:r>
        <w:t xml:space="preserve">Op de T7 staan voor ieder jaar uit 1984–2025 twee aanvullende officiële SOVON/AVIMAP-werkboeken: 42 territoriummatrices en 42 werkboeken met totalen per bezoek, samen 84 Excelbestanden. Iedere jaarmap bevat daarnaast een puntlaag met individuele bezoekwaarnemingen en een puntlaag met territoria. De waarnemingslagen bevatten samen 623.264 punten uit 2007 en 2009–2025; de territoriumpuntlagen bevatten 126.682 punten uit dezelfde jaren. Voor 1984–2006 en 2008 zijn beide puntlagen leeg. Alle werkboeken zijn leesbaar en bevatten uitsluitend het jaarlabel van de betreffende jaarmap; in de hoofdmap zijn geen losse Excelbestanden achtergebleven. Tracks en de actuele SOVON-gebiedspolygonen worden niet opgenomen. Het lopende jaar 2026 valt buiten deze afgeronde reeks.</w:t>
      </w:r>
    </w:p>
    <w:p>
      <w:pPr>
        <w:pStyle w:val="BodyText"/>
      </w:pPr>
      <w:r>
        <w:t xml:space="preserve">De 42 territoriummatrices bevatten 222.852 plot-soortregels: 52.450 positieve resultaten, 86.983 expliciete nulcellen en 83.419 lege cellen. Een lege cel geldt niet als nul. De puntlagen bevatten 22.305 bronwaarnemingen die nog niet in</w:t>
      </w:r>
      <w:r>
        <w:t xml:space="preserve"> </w:t>
      </w:r>
      <w:r>
        <w:rPr>
          <w:rStyle w:val="VerbatimChar"/>
        </w:rPr>
        <w:t xml:space="preserve">dagwaarnemingen_bmp</w:t>
      </w:r>
      <w:r>
        <w:t xml:space="preserve"> </w:t>
      </w:r>
      <w:r>
        <w:t xml:space="preserve">staan; omgekeerd ontbreekt geen bestaande SOVON-bron-ID in de nieuwe levering. Bij 2.629 gedeelde bron-ID’s levert SOVON broedcode 0 terwijl de database</w:t>
      </w:r>
      <w:r>
        <w:t xml:space="preserve"> </w:t>
      </w:r>
      <w:r>
        <w:rPr>
          <w:rStyle w:val="VerbatimChar"/>
        </w:rPr>
        <w:t xml:space="preserve">NULL</w:t>
      </w:r>
      <w:r>
        <w:t xml:space="preserve"> </w:t>
      </w:r>
      <w:r>
        <w:t xml:space="preserve">bevat. De downloads bevatten geen zelfstandig veld dat een telling formeel als afgekeurd markeert. Vergelijking en eventuele verrijking volgen daarom per jaar. Daarbij worden BMP-type, standaard alle soorten of een expliciete uitzondering, volledig geteld, goedgekeurd of formeel afgekeurd en de toepasselijke officiële soortenlijst afzonderlijk vastgelegd. Broedcode 0 blijft een positieve vogelwaarneming. Tellercodes worden per jaar gecontroleerd.</w:t>
      </w:r>
    </w:p>
    <w:p>
      <w:pPr>
        <w:pStyle w:val="BodyText"/>
      </w:pPr>
      <w:r>
        <w:rPr>
          <w:b/>
          <w:bCs/>
        </w:rPr>
        <w:t xml:space="preserve">Betekenis van SOVON-nullen, bevestigd 6 oktober 2026.</w:t>
      </w:r>
      <w:r>
        <w:t xml:space="preserve"> </w:t>
      </w:r>
      <w:r>
        <w:t xml:space="preserve">SOVON Helpdesk heeft schriftelijk bevestigd dat in een Excel-download van alle jaren</w:t>
      </w:r>
      <w:r>
        <w:t xml:space="preserve"> </w:t>
      </w:r>
      <w:r>
        <w:rPr>
          <w:rStyle w:val="VerbatimChar"/>
        </w:rPr>
        <w:t xml:space="preserve">0</w:t>
      </w:r>
      <w:r>
        <w:t xml:space="preserve"> </w:t>
      </w:r>
      <w:r>
        <w:t xml:space="preserve">een harde nul is: de soort is onderzocht maar niet vastgesteld. Als de soort niet is onderzocht, blijft de Excel-cel leeg. Deze betekenis geldt voor alle SOVON-territoriummatrices die in dit project zijn gebruikt. De huidige database en TRIM-poort volgen dit onderscheid: een letterlijke, niet-conflicterende en niet-afgekeurde SOVON-nul is</w:t>
      </w:r>
      <w:r>
        <w:t xml:space="preserve"> </w:t>
      </w:r>
      <w:r>
        <w:rPr>
          <w:rStyle w:val="VerbatimChar"/>
        </w:rPr>
        <w:t xml:space="preserve">0</w:t>
      </w:r>
      <w:r>
        <w:t xml:space="preserve">; een lege SOVON-cel blijft</w:t>
      </w:r>
      <w:r>
        <w:t xml:space="preserve"> </w:t>
      </w:r>
      <w:r>
        <w:rPr>
          <w:rStyle w:val="VerbatimChar"/>
        </w:rPr>
        <w:t xml:space="preserve">NA</w:t>
      </w:r>
      <w:r>
        <w:t xml:space="preserve">.</w:t>
      </w:r>
    </w:p>
    <w:p>
      <w:pPr>
        <w:pStyle w:val="BodyText"/>
      </w:pPr>
      <w:r>
        <w:rPr>
          <w:b/>
          <w:bCs/>
        </w:rPr>
        <w:t xml:space="preserve">Afgeleide nullen uit jaarverslagen, uitgevoerd 7 oktober 2026.</w:t>
      </w:r>
      <w:r>
        <w:t xml:space="preserve"> </w:t>
      </w:r>
      <w:r>
        <w:t xml:space="preserve">Voor de zelfstandige bron</w:t>
      </w:r>
      <w:r>
        <w:t xml:space="preserve"> </w:t>
      </w:r>
      <w:r>
        <w:rPr>
          <w:rStyle w:val="VerbatimChar"/>
        </w:rPr>
        <w:t xml:space="preserve">jrvslg_m</w:t>
      </w:r>
      <w:r>
        <w:t xml:space="preserve"> </w:t>
      </w:r>
      <w:r>
        <w:t xml:space="preserve">geldt bij TRIM een expliciete analyseaanname. De tellers telden alle vogelsoorten. De relevante soortpool bestaat daarom uit iedere soort met ten minste één geaccepteerd positief</w:t>
      </w:r>
      <w:r>
        <w:t xml:space="preserve"> </w:t>
      </w:r>
      <w:r>
        <w:rPr>
          <w:rStyle w:val="VerbatimChar"/>
        </w:rPr>
        <w:t xml:space="preserve">jrvslg_m</w:t>
      </w:r>
      <w:r>
        <w:t xml:space="preserve">-resultaat in de volledige jaarverslagreeks 1958-2025. Als zo’n soort in een geteld jaarverslagplot ontbreekt, wordt de soort-plotjaarcombinatie als nul behandeld; het is niet vereist dat de soort in hetzelfde kalenderjaar elders is vastgesteld. Deze waarde is geen letterlijke bronnul, krijgt daarom de status</w:t>
      </w:r>
      <w:r>
        <w:t xml:space="preserve"> </w:t>
      </w:r>
      <w:r>
        <w:rPr>
          <w:rStyle w:val="VerbatimChar"/>
        </w:rPr>
        <w:t xml:space="preserve">afgeleide_jaarverslagnul</w:t>
      </w:r>
      <w:r>
        <w:t xml:space="preserve"> </w:t>
      </w:r>
      <w:r>
        <w:t xml:space="preserve">en hoort niet als bronregel in</w:t>
      </w:r>
      <w:r>
        <w:t xml:space="preserve"> </w:t>
      </w:r>
      <w:r>
        <w:rPr>
          <w:rStyle w:val="VerbatimChar"/>
        </w:rPr>
        <w:t xml:space="preserve">territoria</w:t>
      </w:r>
      <w:r>
        <w:t xml:space="preserve">. Binnen 662 getelde</w:t>
      </w:r>
      <w:r>
        <w:t xml:space="preserve"> </w:t>
      </w:r>
      <w:r>
        <w:rPr>
          <w:rStyle w:val="VerbatimChar"/>
        </w:rPr>
        <w:t xml:space="preserve">jrvslg_m</w:t>
      </w:r>
      <w:r>
        <w:t xml:space="preserve">-plotjaren en een soortpool van 128 soorten bevat de actuele standaardanalyse over 52 Natura 2000-plots 66.116 afgeleide nullen: 60.387 in 1958-1983 en 5.729 in 1984-2025. Na selectie op eerste positieve jaar en actieve plots worden 15.921 daarvan als modelinvoer gebruikt: 14.149 in 1958-1983 en 1.772 in 1984-2025. De gedeelde observatiepoort past deze regel toe in batch-TRIM, Shiny, Sandra en GEE en bewaart analysebron, nulstatus en bewijsgrond. De herberekende hoofdreeks bevat 156 soorten in de statuslaag, 135 soorten met minimaal één indexreeks en 93 brugbare reeksen; Kuifleeuwerik verloor als enige de post-1984-modelreeks. De Sandra-selectie 1997-2022 bevat geen</w:t>
      </w:r>
      <w:r>
        <w:t xml:space="preserve"> </w:t>
      </w:r>
      <w:r>
        <w:rPr>
          <w:rStyle w:val="VerbatimChar"/>
        </w:rPr>
        <w:t xml:space="preserve">jrvslg_m</w:t>
      </w:r>
      <w:r>
        <w:t xml:space="preserve">-plotjaar; haar soorttrends en indexbestanden bleven bytegelijk.</w:t>
      </w:r>
    </w:p>
    <w:p>
      <w:pPr>
        <w:pStyle w:val="BodyText"/>
      </w:pPr>
      <w:r>
        <w:rPr>
          <w:b/>
          <w:bCs/>
        </w:rPr>
        <w:t xml:space="preserve">Jaarcontrole 1984, 2 oktober 2026.</w:t>
      </w:r>
      <w:r>
        <w:t xml:space="preserve"> </w:t>
      </w:r>
      <w:r>
        <w:t xml:space="preserve">De SOVON-download bevat 230 bezoeken in 16 plots. Alle 230 bezoeken zijn inhoudelijk gelijk aan de 230 bezoeken onder bron</w:t>
      </w:r>
      <w:r>
        <w:t xml:space="preserve"> </w:t>
      </w:r>
      <w:r>
        <w:rPr>
          <w:rStyle w:val="VerbatimChar"/>
        </w:rPr>
        <w:t xml:space="preserve">sovon_m</w:t>
      </w:r>
      <w:r>
        <w:t xml:space="preserve"> </w:t>
      </w:r>
      <w:r>
        <w:t xml:space="preserve">in</w:t>
      </w:r>
      <w:r>
        <w:t xml:space="preserve"> </w:t>
      </w:r>
      <w:r>
        <w:rPr>
          <w:rStyle w:val="VerbatimChar"/>
        </w:rPr>
        <w:t xml:space="preserve">dagbezoeken_bmp</w:t>
      </w:r>
      <w:r>
        <w:t xml:space="preserve">; er is daarom geen bezoek toegevoegd. Voor 15 bezochte plotjaren bevat de download 568 positieve vogelcellen met samen 7.811 territoria, 860 letterlijke nulcellen en 18 lege soortcellen. Van de 568 positieve waarden zijn 562 exact gelijk aan de bestaande SOVON-regels in</w:t>
      </w:r>
      <w:r>
        <w:t xml:space="preserve"> </w:t>
      </w:r>
      <w:r>
        <w:rPr>
          <w:rStyle w:val="VerbatimChar"/>
        </w:rPr>
        <w:t xml:space="preserve">territoria</w:t>
      </w:r>
      <w:r>
        <w:t xml:space="preserve">. De 860 letterlijke nullen zijn als regels met</w:t>
      </w:r>
      <w:r>
        <w:t xml:space="preserve"> </w:t>
      </w:r>
      <w:r>
        <w:rPr>
          <w:rStyle w:val="VerbatimChar"/>
        </w:rPr>
        <w:t xml:space="preserve">territoria = 0</w:t>
      </w:r>
      <w:r>
        <w:t xml:space="preserve"> </w:t>
      </w:r>
      <w:r>
        <w:t xml:space="preserve">en SOVON als bron rechtstreeks aan</w:t>
      </w:r>
      <w:r>
        <w:t xml:space="preserve"> </w:t>
      </w:r>
      <w:r>
        <w:rPr>
          <w:rStyle w:val="VerbatimChar"/>
        </w:rPr>
        <w:t xml:space="preserve">territoria</w:t>
      </w:r>
      <w:r>
        <w:t xml:space="preserve"> </w:t>
      </w:r>
      <w:r>
        <w:t xml:space="preserve">toegevoegd. De 18 cellen zijn leeg binnen plotjaren die voor andere soorten wel resultaten bevatten; zij zijn niet ingevoerd en gelden niet als nul. De 40 geselecteerde maar niet-bezochte plots met 3.497 uitsluitend lege vogelcellen zijn genegeerd.</w:t>
      </w:r>
    </w:p>
    <w:p>
      <w:pPr>
        <w:pStyle w:val="BodyText"/>
      </w:pPr>
      <w:r>
        <w:t xml:space="preserve">Voor M35 bevat de SOVON-download acht bezoeken en 49 lege vogelcellen, zonder positieve waarde of letterlijke nul. De levende database bevat dezelfde acht bezoeken onder</w:t>
      </w:r>
      <w:r>
        <w:t xml:space="preserve"> </w:t>
      </w:r>
      <w:r>
        <w:rPr>
          <w:rStyle w:val="VerbatimChar"/>
        </w:rPr>
        <w:t xml:space="preserve">sovon_m</w:t>
      </w:r>
      <w:r>
        <w:t xml:space="preserve">, geen territoriumregel onder</w:t>
      </w:r>
      <w:r>
        <w:t xml:space="preserve"> </w:t>
      </w:r>
      <w:r>
        <w:rPr>
          <w:rStyle w:val="VerbatimChar"/>
        </w:rPr>
        <w:t xml:space="preserve">sovon_m</w:t>
      </w:r>
      <w:r>
        <w:t xml:space="preserve">, en 13 afzonderlijke regels met samen 106 territoria onder</w:t>
      </w:r>
      <w:r>
        <w:t xml:space="preserve"> </w:t>
      </w:r>
      <w:r>
        <w:rPr>
          <w:rStyle w:val="VerbatimChar"/>
        </w:rPr>
        <w:t xml:space="preserve">jrvslg_m</w:t>
      </w:r>
      <w:r>
        <w:t xml:space="preserve">. Het verslag over 1983-1985 stelt dat de resultatentabel 1984 uitsluitend BMP-getelde kavels omvat. Kavel 35 staat in de bezettingslijst bij J. Bosland en heeft resultaten in die tabel. De lege SOVON-cellen betekenen dus niet dat M35 niet is geteld en zijn geen nullen; de SOVON-resultaten ontbreken. De jaarverslagregels blijven buiten deze SOVON-verwerking. De zes overige positieve verschillen zijn meeuwenwaarden voor M7, M8, M4-5 en M16s. Zij zijn niet als SOVON-regel toegevoegd, omdat</w:t>
      </w:r>
      <w:r>
        <w:t xml:space="preserve"> </w:t>
      </w:r>
      <w:r>
        <w:rPr>
          <w:rStyle w:val="VerbatimChar"/>
        </w:rPr>
        <w:t xml:space="preserve">meeuwen_literatuur</w:t>
      </w:r>
      <w:r>
        <w:t xml:space="preserve"> </w:t>
      </w:r>
      <w:r>
        <w:t xml:space="preserve">voor deze zes plot-soortcombinaties leidend blijft in</w:t>
      </w:r>
      <w:r>
        <w:t xml:space="preserve"> </w:t>
      </w:r>
      <w:r>
        <w:rPr>
          <w:rStyle w:val="VerbatimChar"/>
        </w:rPr>
        <w:t xml:space="preserve">territoria</w:t>
      </w:r>
      <w:r>
        <w:t xml:space="preserve">.</w:t>
      </w:r>
    </w:p>
    <w:p>
      <w:pPr>
        <w:pStyle w:val="BodyText"/>
      </w:pPr>
      <w:r>
        <w:rPr>
          <w:b/>
          <w:bCs/>
        </w:rPr>
        <w:t xml:space="preserve">Jaarcontrole 1985, 3 oktober 2026.</w:t>
      </w:r>
      <w:r>
        <w:t xml:space="preserve"> </w:t>
      </w:r>
      <w:r>
        <w:t xml:space="preserve">De SOVON-download bevat 323 bezoeken in 24 plots; alle 323 komen veld voor veld overeen met</w:t>
      </w:r>
      <w:r>
        <w:t xml:space="preserve"> </w:t>
      </w:r>
      <w:r>
        <w:rPr>
          <w:rStyle w:val="VerbatimChar"/>
        </w:rPr>
        <w:t xml:space="preserve">dagbezoeken_bmp</w:t>
      </w:r>
      <w:r>
        <w:t xml:space="preserve">. De vogelmatrix bevat 864 positieve waarden, 1.386 letterlijke nulcellen en 2.742 lege cellen. Van de positieve waarden zijn 855 gelijk aan bestaande SOVON-regels. De negen overige positieve waarden zijn meeuwenaantallen voor M7, M16, M8 en M16s en zijn niet toegevoegd, omdat</w:t>
      </w:r>
      <w:r>
        <w:t xml:space="preserve"> </w:t>
      </w:r>
      <w:r>
        <w:rPr>
          <w:rStyle w:val="VerbatimChar"/>
        </w:rPr>
        <w:t xml:space="preserve">meeuwen_literatuur</w:t>
      </w:r>
      <w:r>
        <w:t xml:space="preserve"> </w:t>
      </w:r>
      <w:r>
        <w:t xml:space="preserve">voor die combinaties leidend blijft. Van de 1.386 letterlijke nullen zijn 1.385 als</w:t>
      </w:r>
      <w:r>
        <w:t xml:space="preserve"> </w:t>
      </w:r>
      <w:r>
        <w:rPr>
          <w:rStyle w:val="VerbatimChar"/>
        </w:rPr>
        <w:t xml:space="preserve">territoria = 0</w:t>
      </w:r>
      <w:r>
        <w:t xml:space="preserve"> </w:t>
      </w:r>
      <w:r>
        <w:t xml:space="preserve">met SOVON als bron toegevoegd. De ene uitgesloten nul is M4-5/Zilvermeeuw: SOVON levert 0, terwijl</w:t>
      </w:r>
      <w:r>
        <w:t xml:space="preserve"> </w:t>
      </w:r>
      <w:r>
        <w:rPr>
          <w:rStyle w:val="VerbatimChar"/>
        </w:rPr>
        <w:t xml:space="preserve">meeuwen_literatuur</w:t>
      </w:r>
      <w:r>
        <w:t xml:space="preserve"> </w:t>
      </w:r>
      <w:r>
        <w:t xml:space="preserve">55 territoria bevat. De leidende literatuurwaarde blijft staan. De 22 lege cellen binnen twaalf plots met overige resultaten, de 49 uitsluitend lege M35-cellen en de 2.671 lege cellen in 32 niet-bezochte plots zijn niet ingevoerd.</w:t>
      </w:r>
    </w:p>
    <w:p>
      <w:pPr>
        <w:pStyle w:val="BodyText"/>
      </w:pPr>
      <w:r>
        <w:t xml:space="preserve">De SOVON-download bevat voor 1985 geen bezoekwaarnemingen, territoriumpunten, formele afkeuringsaanduiding of tellercodes. Er is daarom niets toegevoegd aan</w:t>
      </w:r>
      <w:r>
        <w:t xml:space="preserve"> </w:t>
      </w:r>
      <w:r>
        <w:rPr>
          <w:rStyle w:val="VerbatimChar"/>
        </w:rPr>
        <w:t xml:space="preserve">dagwaarnemingen_bmp</w:t>
      </w:r>
      <w:r>
        <w:t xml:space="preserve"> </w:t>
      </w:r>
      <w:r>
        <w:t xml:space="preserve">en geen broedcode 0 hersteld. Het verslag bevestigt dat J. Bosland M35 telde en dat kavel 16 bij J.P. Oppentocht hoorde. Op besluit van de data-eigenaar zijn daarom drie ontbrekende regels aan</w:t>
      </w:r>
      <w:r>
        <w:t xml:space="preserve"> </w:t>
      </w:r>
      <w:r>
        <w:rPr>
          <w:rStyle w:val="VerbatimChar"/>
        </w:rPr>
        <w:t xml:space="preserve">plot_jaar_teller</w:t>
      </w:r>
      <w:r>
        <w:t xml:space="preserve"> </w:t>
      </w:r>
      <w:r>
        <w:t xml:space="preserve">toegevoegd: 1985/M35–B_0042 en 1984 en 1985/M16s–A_0042. De al aanwezige regels 1984/M35–B_0042 en 1984 en 1985/M16–A_0042 zijn behouden; er is niets verplaatst of gedupliceerd.</w:t>
      </w:r>
    </w:p>
    <w:p>
      <w:pPr>
        <w:pStyle w:val="BodyText"/>
      </w:pPr>
      <w:r>
        <w:rPr>
          <w:b/>
          <w:bCs/>
        </w:rPr>
        <w:t xml:space="preserve">Jaarcontrole 1986, 3 oktober 2026.</w:t>
      </w:r>
      <w:r>
        <w:t xml:space="preserve"> </w:t>
      </w:r>
      <w:r>
        <w:t xml:space="preserve">De SOVON-download bevat 305 bezoeken in 25 plots; alle 305 komen op bron-ID en inhoud overeen met</w:t>
      </w:r>
      <w:r>
        <w:t xml:space="preserve"> </w:t>
      </w:r>
      <w:r>
        <w:rPr>
          <w:rStyle w:val="VerbatimChar"/>
        </w:rPr>
        <w:t xml:space="preserve">dagbezoeken_bmp</w:t>
      </w:r>
      <w:r>
        <w:t xml:space="preserve">. De vogelmatrix bevat 925 positieve waarden, 1.422 letterlijke nulcellen en 2.645 lege cellen. Van de positieve waarden zijn 919 gelijk aan bestaande SOVON-regels. De zes overige positieve waarden zijn meeuwenaantallen voor M7, M16 en M8 en zijn niet toegevoegd, omdat</w:t>
      </w:r>
      <w:r>
        <w:t xml:space="preserve"> </w:t>
      </w:r>
      <w:r>
        <w:rPr>
          <w:rStyle w:val="VerbatimChar"/>
        </w:rPr>
        <w:t xml:space="preserve">meeuwen_literatuur</w:t>
      </w:r>
      <w:r>
        <w:t xml:space="preserve"> </w:t>
      </w:r>
      <w:r>
        <w:t xml:space="preserve">voor die combinaties leidend blijft. Van de 1.422 letterlijke nullen zijn 1.417 als</w:t>
      </w:r>
      <w:r>
        <w:t xml:space="preserve"> </w:t>
      </w:r>
      <w:r>
        <w:rPr>
          <w:rStyle w:val="VerbatimChar"/>
        </w:rPr>
        <w:t xml:space="preserve">territoria = 0</w:t>
      </w:r>
      <w:r>
        <w:t xml:space="preserve"> </w:t>
      </w:r>
      <w:r>
        <w:t xml:space="preserve">met SOVON als bron toegevoegd. De vijf uitgesloten nullen betreffen Stormmeeuw, Kleine Mantelmeeuw en Zilvermeeuw op M14 en Stormmeeuw en Zilvermeeuw op M4-5;</w:t>
      </w:r>
      <w:r>
        <w:t xml:space="preserve"> </w:t>
      </w:r>
      <w:r>
        <w:rPr>
          <w:rStyle w:val="VerbatimChar"/>
        </w:rPr>
        <w:t xml:space="preserve">meeuwen_literatuur</w:t>
      </w:r>
      <w:r>
        <w:t xml:space="preserve"> </w:t>
      </w:r>
      <w:r>
        <w:t xml:space="preserve">bevat daar positieve aantallen. De 27 lege cellen binnen plots met overige resultaten, de 49 uitsluitend lege M35-cellen en de 2.569 lege cellen in 31 niet-bezochte plots zijn niet ingevoerd.</w:t>
      </w:r>
    </w:p>
    <w:p>
      <w:pPr>
        <w:pStyle w:val="BodyText"/>
      </w:pPr>
      <w:r>
        <w:t xml:space="preserve">Het bezoektotalenbestand vermeldt bij 927 soort-plotregels telkens één niet-bruikbare waarneming, dus 927 aggregaatvermeldingen, maar bevat geen individuele bron-ID, bezoek, datum, broedcode, locatie of formele afkeurstatus. De lege puntlagen en het lege standaardbestand</w:t>
      </w:r>
      <w:r>
        <w:t xml:space="preserve"> </w:t>
      </w:r>
      <w:r>
        <w:rPr>
          <w:rStyle w:val="VerbatimChar"/>
        </w:rPr>
        <w:t xml:space="preserve">resultaten.xlsx</w:t>
      </w:r>
      <w:r>
        <w:t xml:space="preserve"> </w:t>
      </w:r>
      <w:r>
        <w:t xml:space="preserve">leveren evenmin individuele regels. Deze vermeldingen zijn daarom niet als formeel afgekeurde waarnemingen in</w:t>
      </w:r>
      <w:r>
        <w:t xml:space="preserve"> </w:t>
      </w:r>
      <w:r>
        <w:rPr>
          <w:rStyle w:val="VerbatimChar"/>
        </w:rPr>
        <w:t xml:space="preserve">dagwaarnemingen_bmp</w:t>
      </w:r>
      <w:r>
        <w:t xml:space="preserve"> </w:t>
      </w:r>
      <w:r>
        <w:t xml:space="preserve">gereconstrueerd. M66 HGC bevat 15 bezoeken en 45 positieve SOVON-regels met samen 336 territoria. Voor dit plotjaar ontbreekt een tellercode in zowel de download als</w:t>
      </w:r>
      <w:r>
        <w:t xml:space="preserve"> </w:t>
      </w:r>
      <w:r>
        <w:rPr>
          <w:rStyle w:val="VerbatimChar"/>
        </w:rPr>
        <w:t xml:space="preserve">plot_jaar_teller</w:t>
      </w:r>
      <w:r>
        <w:t xml:space="preserve">; ook het jaarverslag noemt M66 HGC niet. Het tellerveld blijft daarom leeg. M35 bevat zeven bezoeken en 49 lege matrixcellen. Het jaarverslag bevat 17 regels met samen 156 territoria en</w:t>
      </w:r>
      <w:r>
        <w:t xml:space="preserve"> </w:t>
      </w:r>
      <w:r>
        <w:rPr>
          <w:rStyle w:val="VerbatimChar"/>
        </w:rPr>
        <w:t xml:space="preserve">meeuwen_literatuur</w:t>
      </w:r>
      <w:r>
        <w:t xml:space="preserve"> </w:t>
      </w:r>
      <w:r>
        <w:t xml:space="preserve">twee Stormmeeuwterritoria, samen gelijk aan het verslagtotaal van 158; deze afzonderlijke bronnen zijn niet als SOVON-regels ingevoerd.</w:t>
      </w:r>
    </w:p>
    <w:p>
      <w:pPr>
        <w:pStyle w:val="BodyText"/>
      </w:pPr>
      <w:r>
        <w:rPr>
          <w:b/>
          <w:bCs/>
        </w:rPr>
        <w:t xml:space="preserve">Jaarcontrole 1987, 3 oktober 2026.</w:t>
      </w:r>
      <w:r>
        <w:t xml:space="preserve"> </w:t>
      </w:r>
      <w:r>
        <w:t xml:space="preserve">De SOVON-download bevat 328 bezoeken; alle 328 komen op bron-ID en inhoud overeen met</w:t>
      </w:r>
      <w:r>
        <w:t xml:space="preserve"> </w:t>
      </w:r>
      <w:r>
        <w:rPr>
          <w:rStyle w:val="VerbatimChar"/>
        </w:rPr>
        <w:t xml:space="preserve">dagbezoeken_bmp</w:t>
      </w:r>
      <w:r>
        <w:t xml:space="preserve">. De vogelmatrix bevat 1.088 positieve waarden, 1.788 letterlijke nulcellen en 2.116 lege cellen. Van de positieve waarden zijn 1.081 gelijk aan bestaande SOVON-regels. De zeven overige positieve waarden zijn Stormmeeuw, Kleine Mantelmeeuw en Zilvermeeuw op M15 en M16 en Kleine Mantelmeeuw op M8. Zij zijn niet toegevoegd, omdat</w:t>
      </w:r>
      <w:r>
        <w:t xml:space="preserve"> </w:t>
      </w:r>
      <w:r>
        <w:rPr>
          <w:rStyle w:val="VerbatimChar"/>
        </w:rPr>
        <w:t xml:space="preserve">meeuwen_literatuur</w:t>
      </w:r>
      <w:r>
        <w:t xml:space="preserve"> </w:t>
      </w:r>
      <w:r>
        <w:t xml:space="preserve">voor deze combinaties leidend blijft. Alle 1.788 letterlijke nullen waren niet-conflicterend en zijn als</w:t>
      </w:r>
      <w:r>
        <w:t xml:space="preserve"> </w:t>
      </w:r>
      <w:r>
        <w:rPr>
          <w:rStyle w:val="VerbatimChar"/>
        </w:rPr>
        <w:t xml:space="preserve">territoria = 0</w:t>
      </w:r>
      <w:r>
        <w:t xml:space="preserve"> </w:t>
      </w:r>
      <w:r>
        <w:t xml:space="preserve">met SOVON als bron toegevoegd. De 32 lege cellen binnen bezochte plots met overige resultaten, de 49 uitsluitend lege M35-cellen, de twee lege M8-cellen en de 2.033 lege cellen in 25 niet-bezochte plots zijn niet ingevoerd.</w:t>
      </w:r>
    </w:p>
    <w:p>
      <w:pPr>
        <w:pStyle w:val="BodyText"/>
      </w:pPr>
      <w:r>
        <w:t xml:space="preserve">Het bezoektotalenbestand vermeldt bij 1.091 soort-plotregels telkens één niet-bruikbare waarneming, dus 1.091 aggregaatvermeldingen, maar bevat geen individuele bron-ID, bezoek, datum, broedcode, locatie of formele afkeurstatus. Deze vermeldingen zijn daarom niet als formeel afgekeurde waarnemingen gereconstrueerd. Voor M66 HGC ontbreekt een tellercode in zowel de download als</w:t>
      </w:r>
      <w:r>
        <w:t xml:space="preserve"> </w:t>
      </w:r>
      <w:r>
        <w:rPr>
          <w:rStyle w:val="VerbatimChar"/>
        </w:rPr>
        <w:t xml:space="preserve">plot_jaar_teller</w:t>
      </w:r>
      <w:r>
        <w:t xml:space="preserve">; dit veld blijft leeg. De overige 29 plots met resultaten hebben al een database-tellercode. M8 heeft 41 positieve waarden, 57 letterlijke nullen en twee lege cellen, maar geen bezoekregels in de SOVON-download of</w:t>
      </w:r>
      <w:r>
        <w:t xml:space="preserve"> </w:t>
      </w:r>
      <w:r>
        <w:rPr>
          <w:rStyle w:val="VerbatimChar"/>
        </w:rPr>
        <w:t xml:space="preserve">dagbezoeken_bmp</w:t>
      </w:r>
      <w:r>
        <w:t xml:space="preserve">. Het jaarverslag noemt R. Wanders als teller en twaalf BMP-bezoeken; de bestaande databasecode</w:t>
      </w:r>
      <w:r>
        <w:t xml:space="preserve"> </w:t>
      </w:r>
      <w:r>
        <w:rPr>
          <w:rStyle w:val="VerbatimChar"/>
        </w:rPr>
        <w:t xml:space="preserve">RWNS00</w:t>
      </w:r>
      <w:r>
        <w:t xml:space="preserve"> </w:t>
      </w:r>
      <w:r>
        <w:t xml:space="preserve">blijft staan. De twaalf verslagbezoeken zijn niet als SOVON-bezoeken gereconstrueerd. M35 heeft zeven SOVON-bezoeken maar uitsluitend 49 lege matrixcellen. In de database staan voor M35 zeventien jaarverslagregels met samen 54 territoria en één</w:t>
      </w:r>
      <w:r>
        <w:t xml:space="preserve"> </w:t>
      </w:r>
      <w:r>
        <w:rPr>
          <w:rStyle w:val="VerbatimChar"/>
        </w:rPr>
        <w:t xml:space="preserve">meeuwen_literatuur</w:t>
      </w:r>
      <w:r>
        <w:t xml:space="preserve">-regel met 64 territoria; deze bronnen blijven gescheiden van SOVON.</w:t>
      </w:r>
    </w:p>
    <w:p>
      <w:pPr>
        <w:pStyle w:val="BodyText"/>
      </w:pPr>
      <w:r>
        <w:rPr>
          <w:b/>
          <w:bCs/>
        </w:rPr>
        <w:t xml:space="preserve">Jaarcontroles 1988-2004, 3 oktober 2026.</w:t>
      </w:r>
      <w:r>
        <w:t xml:space="preserve"> </w:t>
      </w:r>
      <w:r>
        <w:t xml:space="preserve">De zeventien SOVON-downloads bevatten samen 5.141 in-scope bezoeken. Alle 5.141 stonden al op bron-ID en inhoud gelijk in</w:t>
      </w:r>
      <w:r>
        <w:t xml:space="preserve"> </w:t>
      </w:r>
      <w:r>
        <w:rPr>
          <w:rStyle w:val="VerbatimChar"/>
        </w:rPr>
        <w:t xml:space="preserve">dagbezoeken_bmp</w:t>
      </w:r>
      <w:r>
        <w:t xml:space="preserve">; er is geen bezoek toegevoegd of gewijzigd. De matrices bevatten na uitsluiting van De Horsten samen 19.197 positieve SOVON-resultaten. Die waren gelijk aan de bestaande SOVON-regels, behoudens meeuwencombinaties waarvoor een aanwezige regel uit</w:t>
      </w:r>
      <w:r>
        <w:t xml:space="preserve"> </w:t>
      </w:r>
      <w:r>
        <w:rPr>
          <w:rStyle w:val="VerbatimChar"/>
        </w:rPr>
        <w:t xml:space="preserve">meeuwen_literatuur</w:t>
      </w:r>
      <w:r>
        <w:t xml:space="preserve"> </w:t>
      </w:r>
      <w:r>
        <w:t xml:space="preserve">leidend bleef. In</w:t>
      </w:r>
      <w:r>
        <w:t xml:space="preserve"> </w:t>
      </w:r>
      <w:r>
        <w:rPr>
          <w:rStyle w:val="VerbatimChar"/>
        </w:rPr>
        <w:t xml:space="preserve">territoria</w:t>
      </w:r>
      <w:r>
        <w:t xml:space="preserve"> </w:t>
      </w:r>
      <w:r>
        <w:t xml:space="preserve">zijn per jaar uitsluitend de volgende aantallen letterlijke, niet-conflicterende SOVON-nullen toegevoegd: 1988 1.444; 1989 1.512; 1990 1.622; 1991 1.761; 1992 1.739; 1993 2.057; 1994 1.838; 1995 1.811; 1996 1.797; 1997 1.829; 1998 1.834; 1999 1.873; 2000 1.773; 2001 1.846; 2002 1.884; 2003 1.854; 2004 1.984. Samen zijn dit 30.458 nieuwe regels.</w:t>
      </w:r>
      <w:r>
        <w:t xml:space="preserve"> </w:t>
      </w:r>
      <w:r>
        <w:rPr>
          <w:rStyle w:val="VerbatimChar"/>
        </w:rPr>
        <w:t xml:space="preserve">territoria</w:t>
      </w:r>
      <w:r>
        <w:t xml:space="preserve"> </w:t>
      </w:r>
      <w:r>
        <w:t xml:space="preserve">bevat daarna 106.921 regels. Alle nieuwe nulregels zijn via</w:t>
      </w:r>
      <w:r>
        <w:t xml:space="preserve"> </w:t>
      </w:r>
      <w:r>
        <w:rPr>
          <w:rStyle w:val="VerbatimChar"/>
        </w:rPr>
        <w:t xml:space="preserve">soorten</w:t>
      </w:r>
      <w:r>
        <w:t xml:space="preserve">,</w:t>
      </w:r>
      <w:r>
        <w:t xml:space="preserve"> </w:t>
      </w:r>
      <w:r>
        <w:rPr>
          <w:rStyle w:val="VerbatimChar"/>
        </w:rPr>
        <w:t xml:space="preserve">taxa_bronkoppeling</w:t>
      </w:r>
      <w:r>
        <w:t xml:space="preserve">,</w:t>
      </w:r>
      <w:r>
        <w:t xml:space="preserve"> </w:t>
      </w:r>
      <w:r>
        <w:rPr>
          <w:rStyle w:val="VerbatimChar"/>
        </w:rPr>
        <w:t xml:space="preserve">taxa</w:t>
      </w:r>
      <w:r>
        <w:t xml:space="preserve"> </w:t>
      </w:r>
      <w:r>
        <w:t xml:space="preserve">en</w:t>
      </w:r>
      <w:r>
        <w:t xml:space="preserve"> </w:t>
      </w:r>
      <w:r>
        <w:rPr>
          <w:rStyle w:val="VerbatimChar"/>
        </w:rPr>
        <w:t xml:space="preserve">taxon_groepen</w:t>
      </w:r>
      <w:r>
        <w:t xml:space="preserve"> </w:t>
      </w:r>
      <w:r>
        <w:t xml:space="preserve">als vogels bereikbaar; de jaarlijkse databasebrede nacontrole omvat 128 routes en geeft nul fouten.</w:t>
      </w:r>
    </w:p>
    <w:p>
      <w:pPr>
        <w:pStyle w:val="BodyText"/>
      </w:pPr>
      <w:r>
        <w:t xml:space="preserve">In 1991 zijn vier SOVON-meeuwennullen niet ingevoerd omdat voor dezelfde plot-soortcombinatie een positieve, leidende waarde uit</w:t>
      </w:r>
      <w:r>
        <w:t xml:space="preserve"> </w:t>
      </w:r>
      <w:r>
        <w:rPr>
          <w:rStyle w:val="VerbatimChar"/>
        </w:rPr>
        <w:t xml:space="preserve">meeuwen_literatuur</w:t>
      </w:r>
      <w:r>
        <w:t xml:space="preserve"> </w:t>
      </w:r>
      <w:r>
        <w:t xml:space="preserve">bestaat. Een retroactieve afwezigheidscontrole over 1984-2004 houdt 1.309</w:t>
      </w:r>
      <w:r>
        <w:t xml:space="preserve"> </w:t>
      </w:r>
      <w:r>
        <w:rPr>
          <w:rStyle w:val="VerbatimChar"/>
        </w:rPr>
        <w:t xml:space="preserve">jrvslg_m</w:t>
      </w:r>
      <w:r>
        <w:t xml:space="preserve">-regels en 70</w:t>
      </w:r>
      <w:r>
        <w:t xml:space="preserve"> </w:t>
      </w:r>
      <w:r>
        <w:rPr>
          <w:rStyle w:val="VerbatimChar"/>
        </w:rPr>
        <w:t xml:space="preserve">meeuwen_literatuur</w:t>
      </w:r>
      <w:r>
        <w:t xml:space="preserve">-regels bewust in stand: de SOVON-matrix bevat voor die combinaties geen positieve of letterlijke nulwaarde, en ontbreken in de download is geen wijzigings- of verwijderingsgrond. Jaarverslagen zijn ieder jaar gebruikt om ontbrekende tellers en andere bronverschillen te verklaren. In 1988-2004 leverde dit geen ontbrekende tellerkoppeling op; waar database en download geen teller bevatten, noemde ook het verslag geen ondubbelzinnig aan een bestaande code koppelbare waarnemer voor dat plotjaar.</w:t>
      </w:r>
    </w:p>
    <w:p>
      <w:pPr>
        <w:pStyle w:val="BodyText"/>
      </w:pPr>
      <w:r>
        <w:t xml:space="preserve">De Horsten behoort niet tot Meijendel. Uit de download van 1996 zijn daarom negen bezoeken, 41 positieve resultaten met samen 636 territoria, 30 letterlijke nullen en vier lege cellen volledig genegeerd. De uitsluitend lege selecties van De Horsten in volgende jaren zijn eveneens buiten de vergelijking gehouden. Voor 2000 verklaart het jaarverslag de lege SOVON-resultaten van M35: de werkgroep telde M35 en M36 wel, maar stuurde die resultaten dat jaar niet aan SOVON. De bestaande</w:t>
      </w:r>
      <w:r>
        <w:t xml:space="preserve"> </w:t>
      </w:r>
      <w:r>
        <w:rPr>
          <w:rStyle w:val="VerbatimChar"/>
        </w:rPr>
        <w:t xml:space="preserve">jrvslg_m</w:t>
      </w:r>
      <w:r>
        <w:t xml:space="preserve">-regels blijven daarom staan; uit de lege SOVON-cellen is niets afgeleid.</w:t>
      </w:r>
    </w:p>
    <w:p>
      <w:pPr>
        <w:pStyle w:val="BodyText"/>
      </w:pPr>
      <w:r>
        <w:rPr>
          <w:b/>
          <w:bCs/>
        </w:rPr>
        <w:t xml:space="preserve">Controlejaar 2005, afgerond.</w:t>
      </w:r>
      <w:r>
        <w:t xml:space="preserve"> </w:t>
      </w:r>
      <w:r>
        <w:t xml:space="preserve">De 111 geleverde bezoeken staan veld voor veld gelijk in</w:t>
      </w:r>
      <w:r>
        <w:t xml:space="preserve"> </w:t>
      </w:r>
      <w:r>
        <w:rPr>
          <w:rStyle w:val="VerbatimChar"/>
        </w:rPr>
        <w:t xml:space="preserve">dagbezoeken_bmp</w:t>
      </w:r>
      <w:r>
        <w:t xml:space="preserve">; 1.156 positieve vogelresultaten zijn gelijk. De 1.999 letterlijke, niet-conflicterende vogelnullen zijn in</w:t>
      </w:r>
      <w:r>
        <w:t xml:space="preserve"> </w:t>
      </w:r>
      <w:r>
        <w:rPr>
          <w:rStyle w:val="VerbatimChar"/>
        </w:rPr>
        <w:t xml:space="preserve">territoria</w:t>
      </w:r>
      <w:r>
        <w:t xml:space="preserve"> </w:t>
      </w:r>
      <w:r>
        <w:t xml:space="preserve">opgenomen; 1.766 lege cellen niet. De puntenlaag bevat nul features. Het bezoektotalenbestand bevat daarnaast 101 positieve zoogdierregels op 58 bestaande BMP-bezoeken in zeven plots: Konijn 46 regels met totaal 241, Ree 34 met totaal 89, Vos 15 met totaal 22, Eekhoorn vijf met totaal 6 en Dwergspitsmuis één met totaal 1. Twintig waarden waren al gelijk. De overige 81 SOVON-regels met 284 dieren op 46 bezoeken zijn afzonderlijk opgenomen onder</w:t>
      </w:r>
      <w:r>
        <w:t xml:space="preserve"> </w:t>
      </w:r>
      <w:r>
        <w:rPr>
          <w:rStyle w:val="VerbatimChar"/>
        </w:rPr>
        <w:t xml:space="preserve">sovon-bmp-jaarbestanden-v1</w:t>
      </w:r>
      <w:r>
        <w:t xml:space="preserve">; daaronder vallen ook de twee afwijkende Konijnwaarden in M16. Bezoek 365793 bevat SOVON 2 naast NDFF 9 en bezoek 365789 bevat SOVON 1 naast NDFF 3. Het NDFF-auditspoor blijft staan; SOVON is bij gecombineerd gebruik leidend. Er zijn geen zoogdiernullen afgeleid.</w:t>
      </w:r>
    </w:p>
    <w:p>
      <w:pPr>
        <w:pStyle w:val="BodyText"/>
      </w:pPr>
      <w:r>
        <w:rPr>
          <w:b/>
          <w:bCs/>
        </w:rPr>
        <w:t xml:space="preserve">Controlejaar 2006, afgerond.</w:t>
      </w:r>
      <w:r>
        <w:t xml:space="preserve"> </w:t>
      </w:r>
      <w:r>
        <w:t xml:space="preserve">De 172 geleverde bezoeken staan veld voor veld gelijk in</w:t>
      </w:r>
      <w:r>
        <w:t xml:space="preserve"> </w:t>
      </w:r>
      <w:r>
        <w:rPr>
          <w:rStyle w:val="VerbatimChar"/>
        </w:rPr>
        <w:t xml:space="preserve">dagbezoeken_bmp</w:t>
      </w:r>
      <w:r>
        <w:t xml:space="preserve">; 1.069 positieve vogelresultaten zijn gelijk. De 1.865 letterlijke, niet-conflicterende vogelnullen zijn in</w:t>
      </w:r>
      <w:r>
        <w:t xml:space="preserve"> </w:t>
      </w:r>
      <w:r>
        <w:rPr>
          <w:rStyle w:val="VerbatimChar"/>
        </w:rPr>
        <w:t xml:space="preserve">territoria</w:t>
      </w:r>
      <w:r>
        <w:t xml:space="preserve"> </w:t>
      </w:r>
      <w:r>
        <w:t xml:space="preserve">opgenomen; 1.987 lege cellen niet. De puntenlaag bevat nul features. Het bezoektotalenbestand bevat 159 positieve zoogdierregels. Daarvan waren 36 gelijk. Onder</w:t>
      </w:r>
      <w:r>
        <w:t xml:space="preserve"> </w:t>
      </w:r>
      <w:r>
        <w:rPr>
          <w:rStyle w:val="VerbatimChar"/>
        </w:rPr>
        <w:t xml:space="preserve">sovon-bmp-jaarbestanden-v1</w:t>
      </w:r>
      <w:r>
        <w:t xml:space="preserve"> </w:t>
      </w:r>
      <w:r>
        <w:t xml:space="preserve">zijn 123 aanvullende regels met samen 523 dieren op 72 bezoeken opgenomen zonder nulafleiding. Daaronder staan acht afwijkende SOVON-bezoektotalen naast het NDFF-auditspoor; SOVON is bij gecombineerd gebruik leidend.</w:t>
      </w:r>
    </w:p>
    <w:p>
      <w:pPr>
        <w:pStyle w:val="BodyText"/>
      </w:pPr>
      <w:r>
        <w:rPr>
          <w:b/>
          <w:bCs/>
        </w:rPr>
        <w:t xml:space="preserve">Controlejaar 2007, afgerond.</w:t>
      </w:r>
      <w:r>
        <w:t xml:space="preserve"> </w:t>
      </w:r>
      <w:r>
        <w:t xml:space="preserve">De 172 geleverde bezoeken staan veld voor veld gelijk in</w:t>
      </w:r>
      <w:r>
        <w:t xml:space="preserve"> </w:t>
      </w:r>
      <w:r>
        <w:rPr>
          <w:rStyle w:val="VerbatimChar"/>
        </w:rPr>
        <w:t xml:space="preserve">dagbezoeken_bmp</w:t>
      </w:r>
      <w:r>
        <w:t xml:space="preserve">; 1.166 positieve vogelresultaten zijn gelijk. Alle 1.924 letterlijke vogelnullen zijn in</w:t>
      </w:r>
      <w:r>
        <w:t xml:space="preserve"> </w:t>
      </w:r>
      <w:r>
        <w:rPr>
          <w:rStyle w:val="VerbatimChar"/>
        </w:rPr>
        <w:t xml:space="preserve">territoria</w:t>
      </w:r>
      <w:r>
        <w:t xml:space="preserve"> </w:t>
      </w:r>
      <w:r>
        <w:t xml:space="preserve">opgenomen; 1.831 lege cellen niet. Het bezoektotalenbestand bevat 249 positieve zoogdierregels. Daarvan waren 101 al gelijk. Onder</w:t>
      </w:r>
      <w:r>
        <w:t xml:space="preserve"> </w:t>
      </w:r>
      <w:r>
        <w:rPr>
          <w:rStyle w:val="VerbatimChar"/>
        </w:rPr>
        <w:t xml:space="preserve">sovon-bmp-jaarbestanden-v1</w:t>
      </w:r>
      <w:r>
        <w:t xml:space="preserve"> </w:t>
      </w:r>
      <w:r>
        <w:t xml:space="preserve">staan 148 aanvullende regels met 692 dieren op 84 bezoeken, inclusief de elf afwijkende SOVON-bezoektotalen. Het historische NDFF-auditspoor blijft bestaan; SOVON is bij gecombineerd gebruik leidend en beide waarden worden niet opgeteld. Voor M6 vermeldt de download teller</w:t>
      </w:r>
      <w:r>
        <w:t xml:space="preserve"> </w:t>
      </w:r>
      <w:r>
        <w:rPr>
          <w:rStyle w:val="VerbatimChar"/>
        </w:rPr>
        <w:t xml:space="preserve">JASQ00</w:t>
      </w:r>
      <w:r>
        <w:t xml:space="preserve">. Het verslag noemt T. Lansink voor M6 en M61 en J. van As voor M83; de database koppelt M6 en M61 aan</w:t>
      </w:r>
      <w:r>
        <w:t xml:space="preserve"> </w:t>
      </w:r>
      <w:r>
        <w:rPr>
          <w:rStyle w:val="VerbatimChar"/>
        </w:rPr>
        <w:t xml:space="preserve">ALNK00</w:t>
      </w:r>
      <w:r>
        <w:t xml:space="preserve"> </w:t>
      </w:r>
      <w:r>
        <w:t xml:space="preserve">en M83 aan</w:t>
      </w:r>
      <w:r>
        <w:t xml:space="preserve"> </w:t>
      </w:r>
      <w:r>
        <w:rPr>
          <w:rStyle w:val="VerbatimChar"/>
        </w:rPr>
        <w:t xml:space="preserve">JASQ00</w:t>
      </w:r>
      <w:r>
        <w:t xml:space="preserve">. De downloadcode bij M6 is daarom niet overgenomen.</w:t>
      </w:r>
    </w:p>
    <w:p>
      <w:pPr>
        <w:pStyle w:val="BodyText"/>
      </w:pPr>
      <w:r>
        <w:rPr>
          <w:b/>
          <w:bCs/>
        </w:rPr>
        <w:t xml:space="preserve">Controlejaren 2008-2022, afgerond.</w:t>
      </w:r>
      <w:r>
        <w:t xml:space="preserve"> </w:t>
      </w:r>
      <w:r>
        <w:t xml:space="preserve">De vijftien downloads bevatten 6.306 in-scope bezoeken. Zij staan alle al in</w:t>
      </w:r>
      <w:r>
        <w:t xml:space="preserve"> </w:t>
      </w:r>
      <w:r>
        <w:rPr>
          <w:rStyle w:val="VerbatimChar"/>
        </w:rPr>
        <w:t xml:space="preserve">dagbezoeken_bmp</w:t>
      </w:r>
      <w:r>
        <w:t xml:space="preserve">; bij 154 bezoeken verschilt uitsluitend afsluitende witruimte in</w:t>
      </w:r>
      <w:r>
        <w:t xml:space="preserve"> </w:t>
      </w:r>
      <w:r>
        <w:rPr>
          <w:rStyle w:val="VerbatimChar"/>
        </w:rPr>
        <w:t xml:space="preserve">opmerking</w:t>
      </w:r>
      <w:r>
        <w:t xml:space="preserve">, zodat geen bezoek is gewijzigd. Aan</w:t>
      </w:r>
      <w:r>
        <w:t xml:space="preserve"> </w:t>
      </w:r>
      <w:r>
        <w:rPr>
          <w:rStyle w:val="VerbatimChar"/>
        </w:rPr>
        <w:t xml:space="preserve">territoria</w:t>
      </w:r>
      <w:r>
        <w:t xml:space="preserve"> </w:t>
      </w:r>
      <w:r>
        <w:t xml:space="preserve">zijn 37.213 letterlijke, niet-conflicterende SOVON-nullen toegevoegd. Lege cellen zijn niet ingevoerd. Bestaande Meijendelwaarden die in de download ontbreken zijn behouden. De 81 positieve downloadwaarden uit 2022 voor M105, M71 en M36 staan al met exact dezelfde aantallen onder</w:t>
      </w:r>
      <w:r>
        <w:t xml:space="preserve"> </w:t>
      </w:r>
      <w:r>
        <w:rPr>
          <w:rStyle w:val="VerbatimChar"/>
        </w:rPr>
        <w:t xml:space="preserve">jrvslg_m</w:t>
      </w:r>
      <w:r>
        <w:t xml:space="preserve">; een tweede SOVON-kopie is daarom niet gemaakt. Voor 2008-2022 staan 3.929 aanvullende positieve zoogdierregels op 2.334 bezoeken onder</w:t>
      </w:r>
      <w:r>
        <w:t xml:space="preserve"> </w:t>
      </w:r>
      <w:r>
        <w:rPr>
          <w:rStyle w:val="VerbatimChar"/>
        </w:rPr>
        <w:t xml:space="preserve">sovon-bmp-jaarbestanden-v1</w:t>
      </w:r>
      <w:r>
        <w:t xml:space="preserve">. Alle bronwaarden zijn na invoer gelijk aan de downloads; er zijn geen zoogdiernullen afgeleid.</w:t>
      </w:r>
    </w:p>
    <w:p>
      <w:pPr>
        <w:pStyle w:val="BodyText"/>
      </w:pPr>
      <w:r>
        <w:rPr>
          <w:b/>
          <w:bCs/>
        </w:rPr>
        <w:t xml:space="preserve">Controlejaren 2023-2025, afgerond.</w:t>
      </w:r>
      <w:r>
        <w:t xml:space="preserve"> </w:t>
      </w:r>
      <w:r>
        <w:t xml:space="preserve">De drie downloads bevatten 1.367 in-scope bezoeken. Zij staan alle al in</w:t>
      </w:r>
      <w:r>
        <w:t xml:space="preserve"> </w:t>
      </w:r>
      <w:r>
        <w:rPr>
          <w:rStyle w:val="VerbatimChar"/>
        </w:rPr>
        <w:t xml:space="preserve">dagbezoeken_bmp</w:t>
      </w:r>
      <w:r>
        <w:t xml:space="preserve">; bij 24 bezoeken verschilt uitsluitend afsluitende witruimte in</w:t>
      </w:r>
      <w:r>
        <w:t xml:space="preserve"> </w:t>
      </w:r>
      <w:r>
        <w:rPr>
          <w:rStyle w:val="VerbatimChar"/>
        </w:rPr>
        <w:t xml:space="preserve">opmerking</w:t>
      </w:r>
      <w:r>
        <w:t xml:space="preserve">. Aan</w:t>
      </w:r>
      <w:r>
        <w:t xml:space="preserve"> </w:t>
      </w:r>
      <w:r>
        <w:rPr>
          <w:rStyle w:val="VerbatimChar"/>
        </w:rPr>
        <w:t xml:space="preserve">territoria</w:t>
      </w:r>
      <w:r>
        <w:t xml:space="preserve"> </w:t>
      </w:r>
      <w:r>
        <w:t xml:space="preserve">zijn 8.012 nieuwe letterlijke nulregels toegevoegd. M53/Zwarte Kraai 2023 is na afzonderlijk akkoord van één naar nul gecorrigeerd: de kavelmatrix levert nul en het enige territoriumpunt, met aantal 1 en broedcode 2, heeft</w:t>
      </w:r>
      <w:r>
        <w:t xml:space="preserve"> </w:t>
      </w:r>
      <w:r>
        <w:rPr>
          <w:rStyle w:val="VerbatimChar"/>
        </w:rPr>
        <w:t xml:space="preserve">inplot = 0</w:t>
      </w:r>
      <w:r>
        <w:t xml:space="preserve">. Het punt blijft als bron- en auditgegeven behouden. Voor 2023-2025 zijn 1.171 aanvullende positieve zoogdierregels op 886 bezoeken toegevoegd, inclusief buiten-plotwaarden; geen zoogdiernullen zijn afgeleid. Het verslag 2024 koppelt M75 aan Patricia van Veen. De bestaande code</w:t>
      </w:r>
      <w:r>
        <w:t xml:space="preserve"> </w:t>
      </w:r>
      <w:r>
        <w:rPr>
          <w:rStyle w:val="VerbatimChar"/>
        </w:rPr>
        <w:t xml:space="preserve">ANBN01</w:t>
      </w:r>
      <w:r>
        <w:t xml:space="preserve"> </w:t>
      </w:r>
      <w:r>
        <w:t xml:space="preserve">is daarom voor M75/2024 toegevoegd. Voor M51/2025 blijft de teller leeg: er is geen lokaal jaarverslag 2025 en de exportcode geldt niet zelfstandig als tellerbewijs. De positieve SOVON-resultaten voor M75/2024 en M51/2025 bleven bij deze bestandsvergelijking aanvankelijk staan, maar zijn na de afzonderlijke actuele statuscontrole van 3 oktober 2026 alsnog verwijderd omdat beide plotjaren op sovon.nl oranje-rood en afgekeurd staan. M84s/2025 is eveneens formeel afgekeurd; daarvoor stonden geen territoriumregels in de database.</w:t>
      </w:r>
    </w:p>
    <w:p>
      <w:pPr>
        <w:pStyle w:val="BodyText"/>
      </w:pPr>
      <w:r>
        <w:t xml:space="preserve">Vanaf 3 oktober 2026 geldt als hoofdregel dat alle werkelijk aanvullende SOVON-gegevens in de bestaande Meijendel-kerntabellen mogen worden opgenomen. Bestaande Meijendelgegevens blijven staan wanneer zij in de download ontbreken. Alleen een afzonderlijke conflictregel kan daarvan afwijken. Een aanwezige regel uit</w:t>
      </w:r>
      <w:r>
        <w:t xml:space="preserve"> </w:t>
      </w:r>
      <w:r>
        <w:rPr>
          <w:rStyle w:val="VerbatimChar"/>
        </w:rPr>
        <w:t xml:space="preserve">meeuwen_literatuur</w:t>
      </w:r>
      <w:r>
        <w:t xml:space="preserve"> </w:t>
      </w:r>
      <w:r>
        <w:t xml:space="preserve">blijft voor meeuwen leidend; zonder zo’n regel mag de SOVON-waarde aanvullen of corrigeren. Een ontbrekende teller mag vanuit het jaarverslag worden toegevoegd wanneer kavel en waarnemer ondubbelzinnig zijn en een bestaande code beschikbaar is. De Horsten wordt volledig genegeerd. Niet-conflicterende letterlijke SOVON-nullen worden zonder nieuwe jaarbeslissing opgenomen; niet tot individuele bronregels herleidbare aggregaatvermeldingen worden niet als formeel afgekeurde waarnemingen gereconstrueerd. Ieder jaar wordt eerst volledig vergeleken. Nieuwe soortenconflicten, nieuwe gegevensmodellen en wel individueel herleidbare afkeuringsinformatie blijven afzonderlijke beslispunten.</w:t>
      </w:r>
    </w:p>
    <w:p>
      <w:pPr>
        <w:pStyle w:val="BodyText"/>
      </w:pPr>
      <w:r>
        <w:t xml:space="preserve">De data-eigenaar heeft op 2 oktober 2026 besloten de actuele officiële SOVON BMP-A-soortenlijst vanaf 1984 toe te passen. Lijstversie</w:t>
      </w:r>
      <w:r>
        <w:t xml:space="preserve"> </w:t>
      </w:r>
      <w:r>
        <w:rPr>
          <w:rStyle w:val="VerbatimChar"/>
        </w:rPr>
        <w:t xml:space="preserve">sovon-bmp-a-actueel-retroactief-vanaf-1984-v1</w:t>
      </w:r>
      <w:r>
        <w:t xml:space="preserve"> </w:t>
      </w:r>
      <w:r>
        <w:t xml:space="preserve">gebruikt het officiële PDF-bestand met SHA-256</w:t>
      </w:r>
      <w:r>
        <w:t xml:space="preserve"> </w:t>
      </w:r>
      <w:r>
        <w:rPr>
          <w:rStyle w:val="VerbatimChar"/>
        </w:rPr>
        <w:t xml:space="preserve">3af7adf5febb2164d554246882ead82d93efd9bb505b8c195fc842e09fa67b39</w:t>
      </w:r>
      <w:r>
        <w:t xml:space="preserve">. De volledige lijst bevat 264 officiële namen. Daarvan zijn 240 op exacte naam en negen via een vastgelegde naamvariant gekoppeld aan het centrale taxonregister. Vijftien officiële lijstnamen blijven uitsluitend als lijstmetadata bewaard, omdat geen verantwoorde centrale identiteit kon worden vastgesteld; zij zijn dus geen waarnemingsregels. Zestien historische matrixcategorieën die niet op de actuele lijst staan, zijn als expliciet uitgesloten bewaard. De retroactieve BMP-A-toepassing is geen taxonomische conceptfusie.</w:t>
      </w:r>
    </w:p>
    <w:p>
      <w:pPr>
        <w:pStyle w:val="BodyText"/>
      </w:pPr>
      <w:r>
        <w:t xml:space="preserve">De aanvankelijk aangelegde ontvangsttabellen met kopieën van bezoeken en resultaten zijn op 2 oktober 2026 verwijderd. Over blijven vijf</w:t>
      </w:r>
      <w:r>
        <w:t xml:space="preserve"> </w:t>
      </w:r>
      <w:r>
        <w:rPr>
          <w:rStyle w:val="VerbatimChar"/>
        </w:rPr>
        <w:t xml:space="preserve">sovon_bmp_*</w:t>
      </w:r>
      <w:r>
        <w:t xml:space="preserve">-tabellen met uitsluitend niet elders aanwezige vergelijkingsmetadata: jaarlevering, plotjaarvoorwaarden, tellercodes, soortenlijstversie en soortenlijstnamen. Na afronding van de jaarvergelijking en de actuele SOVON-statuscontrole 1984-2025 bevat</w:t>
      </w:r>
      <w:r>
        <w:t xml:space="preserve"> </w:t>
      </w:r>
      <w:r>
        <w:rPr>
          <w:rStyle w:val="VerbatimChar"/>
        </w:rPr>
        <w:t xml:space="preserve">territoria</w:t>
      </w:r>
      <w:r>
        <w:t xml:space="preserve"> </w:t>
      </w:r>
      <w:r>
        <w:t xml:space="preserve">157.580 regels uit 1958-2025. Daarvan zijn 138.917 regels uit bron</w:t>
      </w:r>
      <w:r>
        <w:t xml:space="preserve"> </w:t>
      </w:r>
      <w:r>
        <w:rPr>
          <w:rStyle w:val="VerbatimChar"/>
        </w:rPr>
        <w:t xml:space="preserve">sovon_m</w:t>
      </w:r>
      <w:r>
        <w:t xml:space="preserve"> </w:t>
      </w:r>
      <w:r>
        <w:t xml:space="preserve">in 1984-2025: 52.224 positieve waarden en 86.693 letterlijke nullen.</w:t>
      </w:r>
      <w:r>
        <w:t xml:space="preserve"> </w:t>
      </w:r>
      <w:r>
        <w:rPr>
          <w:rStyle w:val="VerbatimChar"/>
        </w:rPr>
        <w:t xml:space="preserve">dagbezoeken_bmp</w:t>
      </w:r>
      <w:r>
        <w:t xml:space="preserve"> </w:t>
      </w:r>
      <w:r>
        <w:t xml:space="preserve">bevat voor 1984-2025 alle 14.455 in-scope SOVON-bezoeken uit de downloads;</w:t>
      </w:r>
      <w:r>
        <w:t xml:space="preserve"> </w:t>
      </w:r>
      <w:r>
        <w:rPr>
          <w:rStyle w:val="VerbatimChar"/>
        </w:rPr>
        <w:t xml:space="preserve">dagwaarnemingen_bmp</w:t>
      </w:r>
      <w:r>
        <w:t xml:space="preserve"> </w:t>
      </w:r>
      <w:r>
        <w:t xml:space="preserve">bevat 600.959 vogelrecords. De download is dus geen tweede in te voeren gegevenslaag: per jaar is hij met de bestaande kerntabellen vergeleken en alleen een vastgesteld, besloten aanvullend gegeven heeft tot een wijziging geleid. De afgeleide dump, het exportmanifest en de lokale Shiny-cache zijn op 3 oktober 2026 na een geslaagde proefimport vernieuwd onder SQL-hash</w:t>
      </w:r>
      <w:r>
        <w:t xml:space="preserve"> </w:t>
      </w:r>
      <w:r>
        <w:rPr>
          <w:rStyle w:val="VerbatimChar"/>
        </w:rPr>
        <w:t xml:space="preserve">57dea9216785c7c743ff2b7f6dfb06bf8af4bd7c74928b6d7560e7698ab69b83</w:t>
      </w:r>
      <w:r>
        <w:t xml:space="preserve">; er is niets naar de VPS gepubliceerd.</w:t>
      </w:r>
    </w:p>
    <w:p>
      <w:pPr>
        <w:pStyle w:val="BodyText"/>
      </w:pPr>
      <w:r>
        <w:t xml:space="preserve">De 860 ingevoerde nullen zijn uitsluitend letterlijke nulcellen uit de SOVON-matrix. Op 3 oktober 2026 is besloten dat</w:t>
      </w:r>
      <w:r>
        <w:t xml:space="preserve"> </w:t>
      </w:r>
      <w:r>
        <w:rPr>
          <w:rStyle w:val="VerbatimChar"/>
        </w:rPr>
        <w:t xml:space="preserve">territoria</w:t>
      </w:r>
      <w:r>
        <w:t xml:space="preserve"> </w:t>
      </w:r>
      <w:r>
        <w:t xml:space="preserve">alleen werkelijk door de bron geleverde territoriumwaarden bevat; afgeleide gegevens worden niet in deze tabel opgenomen. Voor de 249 centraal gekoppelde officiële BMP-A-lijstsoorten en de 15 plotjaren met resultaten zijn 3.735 plot-soortcombinaties mogelijk; 2.338 daarvan ontbreken geheel uit de matrix en blijven buiten</w:t>
      </w:r>
      <w:r>
        <w:t xml:space="preserve"> </w:t>
      </w:r>
      <w:r>
        <w:rPr>
          <w:rStyle w:val="VerbatimChar"/>
        </w:rPr>
        <w:t xml:space="preserve">territoria</w:t>
      </w:r>
      <w:r>
        <w:t xml:space="preserve">. Ook de 225 ontbrekende combinaties van de 15 nog niet centraal gekoppelde officiële lijstnamen en de 15 plotjaren blijven buiten</w:t>
      </w:r>
      <w:r>
        <w:t xml:space="preserve"> </w:t>
      </w:r>
      <w:r>
        <w:rPr>
          <w:rStyle w:val="VerbatimChar"/>
        </w:rPr>
        <w:t xml:space="preserve">territoria</w:t>
      </w:r>
      <w:r>
        <w:t xml:space="preserve">. BMP-type, volledigheid, soortenlijst en overige protocolmetadata kunnen dus wel worden gebruikt voor controle en analyse, maar nooit om in</w:t>
      </w:r>
      <w:r>
        <w:t xml:space="preserve"> </w:t>
      </w:r>
      <w:r>
        <w:rPr>
          <w:rStyle w:val="VerbatimChar"/>
        </w:rPr>
        <w:t xml:space="preserve">territoria</w:t>
      </w:r>
      <w:r>
        <w:t xml:space="preserve"> </w:t>
      </w:r>
      <w:r>
        <w:t xml:space="preserve">een ontbrekende bronregel als nul aan te maken.</w:t>
      </w:r>
    </w:p>
    <w:p>
      <w:pPr>
        <w:pStyle w:val="BodyText"/>
      </w:pPr>
      <w:r>
        <w:t xml:space="preserve">Voor kavel 16 vermeldt het verslag dat in 1984 alleen het centrale deel is geïnventariseerd. De bestaande geaccepteerde historische kavelmapping koppelt</w:t>
      </w:r>
      <w:r>
        <w:t xml:space="preserve"> </w:t>
      </w:r>
      <w:r>
        <w:rPr>
          <w:rStyle w:val="VerbatimChar"/>
        </w:rPr>
        <w:t xml:space="preserve">16S</w:t>
      </w:r>
      <w:r>
        <w:t xml:space="preserve"> </w:t>
      </w:r>
      <w:r>
        <w:t xml:space="preserve">aan SOVON-plot 29456 (</w:t>
      </w:r>
      <w:r>
        <w:rPr>
          <w:rStyle w:val="VerbatimChar"/>
        </w:rPr>
        <w:t xml:space="preserve">M16s</w:t>
      </w:r>
      <w:r>
        <w:t xml:space="preserve">). Dit past bij de download: M16s bevat 15 bezoeken en 90 vogelcellen, waarvan 47 positief, 42 expliciete nul en één leeg; M16 bevat geen bezoeken en 99 lege cellen. Op besluit van de data-eigenaar is de bestaande teller A_0042 daarom voor 1984 ook aan M16s gekoppeld. De bestaande historische tellerregel op M16 is niet verplaatst of verwijderd. De volledige centrale nacontrole na de 1985-verwerking omvat 128 taxonroutes en geeft nul fouten.</w:t>
      </w:r>
    </w:p>
    <w:p>
      <w:pPr>
        <w:pStyle w:val="BodyText"/>
      </w:pPr>
      <w:r>
        <w:rPr>
          <w:b/>
          <w:bCs/>
        </w:rPr>
        <w:t xml:space="preserve">Taxonomische ontsluiting, 27 september 2026.</w:t>
      </w:r>
      <w:r>
        <w:t xml:space="preserve"> </w:t>
      </w:r>
      <w:r>
        <w:t xml:space="preserve">De 263 gebruikte vogelcategorieën uit</w:t>
      </w:r>
      <w:r>
        <w:t xml:space="preserve"> </w:t>
      </w:r>
      <w:r>
        <w:rPr>
          <w:rStyle w:val="VerbatimChar"/>
        </w:rPr>
        <w:t xml:space="preserve">soorten</w:t>
      </w:r>
      <w:r>
        <w:t xml:space="preserve"> </w:t>
      </w:r>
      <w:r>
        <w:t xml:space="preserve">hebben ieder een voorlopig naamgebruik in</w:t>
      </w:r>
      <w:r>
        <w:t xml:space="preserve"> </w:t>
      </w:r>
      <w:r>
        <w:rPr>
          <w:rStyle w:val="VerbatimChar"/>
        </w:rPr>
        <w:t xml:space="preserve">taxa</w:t>
      </w:r>
      <w:r>
        <w:t xml:space="preserve"> </w:t>
      </w:r>
      <w:r>
        <w:t xml:space="preserve">en een kandidaat in</w:t>
      </w:r>
      <w:r>
        <w:t xml:space="preserve"> </w:t>
      </w:r>
      <w:r>
        <w:rPr>
          <w:rStyle w:val="VerbatimChar"/>
        </w:rPr>
        <w:t xml:space="preserve">taxa_bronkoppeling</w:t>
      </w:r>
      <w:r>
        <w:t xml:space="preserve">.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BodyText"/>
      </w:pPr>
      <w:r>
        <w:rPr>
          <w:b/>
          <w:bCs/>
        </w:rPr>
        <w:t xml:space="preserve">Telleridentificatie, bijgewerkt 3 oktober 2026.</w:t>
      </w:r>
      <w:r>
        <w:t xml:space="preserve"> </w:t>
      </w:r>
      <w:r>
        <w:t xml:space="preserve">Voor telleridentificatie is</w:t>
      </w:r>
      <w:r>
        <w:t xml:space="preserve"> </w:t>
      </w:r>
      <w:r>
        <w:rPr>
          <w:rStyle w:val="VerbatimChar"/>
        </w:rPr>
        <w:t xml:space="preserve">plot_jaar_teller</w:t>
      </w:r>
      <w:r>
        <w:t xml:space="preserve"> </w:t>
      </w:r>
      <w:r>
        <w:t xml:space="preserve">in de levende lokale database de leidende projectregistratie. Een vergelijking met</w:t>
      </w:r>
      <w:r>
        <w:t xml:space="preserve"> </w:t>
      </w:r>
      <w:r>
        <w:rPr>
          <w:rStyle w:val="VerbatimChar"/>
        </w:rPr>
        <w:t xml:space="preserve">waarnemer</w:t>
      </w:r>
      <w:r>
        <w:t xml:space="preserve"> </w:t>
      </w:r>
      <w:r>
        <w:t xml:space="preserve">uit de actuele SOVON/AVIMAP-resultatendownload omvat 25.555 soortresultaten in 752 plotjaren uit 2007 en 2009–2026. In 282 plotjaren is de ene AVIMAP-code exact gelijk aan de databasecode, in 56 is zij lid van een groter geregistreerd tellerteam, in 400 ontbreekt zij geheel in het geregistreerde team en voor 14 plotjaren ontbrak aanvankelijk</w:t>
      </w:r>
      <w:r>
        <w:t xml:space="preserve"> </w:t>
      </w:r>
      <w:r>
        <w:rPr>
          <w:rStyle w:val="VerbatimChar"/>
        </w:rPr>
        <w:t xml:space="preserve">plot_jaar_teller</w:t>
      </w:r>
      <w:r>
        <w:t xml:space="preserve">. Inhoudelijke controle door de data-eigenaar toont concrete AVIMAP-toeschrijvingen aan kavels die de genoemde waarnemer niet heeft geteld. Het AVIMAP-veld wordt daarom niet gebruikt om</w:t>
      </w:r>
      <w:r>
        <w:t xml:space="preserve"> </w:t>
      </w:r>
      <w:r>
        <w:rPr>
          <w:rStyle w:val="VerbatimChar"/>
        </w:rPr>
        <w:t xml:space="preserve">plot_jaar_teller</w:t>
      </w:r>
      <w:r>
        <w:t xml:space="preserve"> </w:t>
      </w:r>
      <w:r>
        <w:t xml:space="preserve">te vervangen, aan te vullen of te corrigeren; het blijft uitsluitend als letterlijke bronwaarde en auditinformatie behouden. Deze beperking betreft alleen telleridentificatie en keurt de territorium- en bezoekgegevens uit de download niet als geheel af. Bij meerdere tellers blijft een plotjaar een teamregistratie. Omdat de AVIMAP-bezoekentabel geen teller bevat, wordt zonder andere expliciete bron niet afgeleid wie aan een afzonderlijk bezoek deelnam. Tellersensitiviteitsanalyses gebruiken</w:t>
      </w:r>
      <w:r>
        <w:t xml:space="preserve"> </w:t>
      </w:r>
      <w:r>
        <w:rPr>
          <w:rStyle w:val="VerbatimChar"/>
        </w:rPr>
        <w:t xml:space="preserve">plot_jaar_teller</w:t>
      </w:r>
      <w:r>
        <w:t xml:space="preserve"> </w:t>
      </w:r>
      <w:r>
        <w:t xml:space="preserve">en houden tellerteams en ontbrekende koppelingen afzonderlijk herkenbaar. Op basis van inhoudelijke vaststelling door de data-eigenaar zijn vier koppelingen op 1 oktober toegevoegd: 2010/M54a–AZNA00 (</w:t>
      </w:r>
      <w:r>
        <w:rPr>
          <w:rStyle w:val="VerbatimChar"/>
        </w:rPr>
        <w:t xml:space="preserve">plot_id</w:t>
      </w:r>
      <w:r>
        <w:t xml:space="preserve"> </w:t>
      </w:r>
      <w:r>
        <w:t xml:space="preserve">12381), 2012/M66–WCLE00 (</w:t>
      </w:r>
      <w:r>
        <w:rPr>
          <w:rStyle w:val="VerbatimChar"/>
        </w:rPr>
        <w:t xml:space="preserve">plot_id</w:t>
      </w:r>
      <w:r>
        <w:t xml:space="preserve"> </w:t>
      </w:r>
      <w:r>
        <w:t xml:space="preserve">3503), 2018/M34–B_0097 (</w:t>
      </w:r>
      <w:r>
        <w:rPr>
          <w:rStyle w:val="VerbatimChar"/>
        </w:rPr>
        <w:t xml:space="preserve">plot_id</w:t>
      </w:r>
      <w:r>
        <w:t xml:space="preserve"> </w:t>
      </w:r>
      <w:r>
        <w:t xml:space="preserve">3496) en 2018/M8–B_0098 (</w:t>
      </w:r>
      <w:r>
        <w:rPr>
          <w:rStyle w:val="VerbatimChar"/>
        </w:rPr>
        <w:t xml:space="preserve">plot_id</w:t>
      </w:r>
      <w:r>
        <w:t xml:space="preserve"> </w:t>
      </w:r>
      <w:r>
        <w:t xml:space="preserve">3530). Op 3 oktober zijn na controle van de jaarverslagen 1985/M35–B_0042 en 1984 en 1985/M16s–A_0042 toegevoegd. Het verslag 2024 noemt Patricia van Veen ondubbelzinnig als teller van M75; de bestaande code</w:t>
      </w:r>
      <w:r>
        <w:t xml:space="preserve"> </w:t>
      </w:r>
      <w:r>
        <w:rPr>
          <w:rStyle w:val="VerbatimChar"/>
        </w:rPr>
        <w:t xml:space="preserve">ANBN01</w:t>
      </w:r>
      <w:r>
        <w:t xml:space="preserve">, die ook in 2025 en 2026 aan M75 is gekoppeld, is daarom voor 2024 toegevoegd.</w:t>
      </w:r>
      <w:r>
        <w:t xml:space="preserve"> </w:t>
      </w:r>
      <w:r>
        <w:rPr>
          <w:rStyle w:val="VerbatimChar"/>
        </w:rPr>
        <w:t xml:space="preserve">plot_jaar_teller</w:t>
      </w:r>
      <w:r>
        <w:t xml:space="preserve"> </w:t>
      </w:r>
      <w:r>
        <w:t xml:space="preserve">bevat nu 2.458 regels.</w:t>
      </w:r>
    </w:p>
    <w:p>
      <w:pPr>
        <w:pStyle w:val="BodyText"/>
      </w:pPr>
      <w:r>
        <w:rPr>
          <w:b/>
          <w:bCs/>
        </w:rPr>
        <w:t xml:space="preserve">Goedkeuringsstatus territoria, actueel 3 oktober 2026.</w:t>
      </w:r>
      <w:r>
        <w:t xml:space="preserve"> </w:t>
      </w:r>
      <w:r>
        <w:t xml:space="preserve">De inhoudelijke regel is dat</w:t>
      </w:r>
      <w:r>
        <w:t xml:space="preserve"> </w:t>
      </w:r>
      <w:r>
        <w:rPr>
          <w:rStyle w:val="VerbatimChar"/>
        </w:rPr>
        <w:t xml:space="preserve">territoria</w:t>
      </w:r>
      <w:r>
        <w:t xml:space="preserve"> </w:t>
      </w:r>
      <w:r>
        <w:t xml:space="preserve">voor afgekeurde SOVON-tellingen geen actieve SOVON-uitkomsten bevat. De eerdere tussenstand van elf afgekeurde plotjaren is vervangen door een volledige visuele controle van 55 Meijendel-plots op sovon.nl voor 1984-2025; De Horsten is genegeerd. Daaruit volgen 25 formeel afgekeurde plotjaren met bezoeken of records: M35/1984-1988, M35/2000, M53/2007, M8/2008, M35 en M36/2009, M105 en M54a/2012, M53/2015, M34, M45, M8, M54b en M55/2018, M78/79/2019, M61/2021, M75 en M1a/2022, M75/2024 en M51 en M84s/2025. Zij staan met</w:t>
      </w:r>
      <w:r>
        <w:t xml:space="preserve"> </w:t>
      </w:r>
      <w:r>
        <w:rPr>
          <w:rStyle w:val="VerbatimChar"/>
        </w:rPr>
        <w:t xml:space="preserve">beoordelingsstatus = formeel_afgekeurd</w:t>
      </w:r>
      <w:r>
        <w:t xml:space="preserve"> </w:t>
      </w:r>
      <w:r>
        <w:t xml:space="preserve">in</w:t>
      </w:r>
      <w:r>
        <w:t xml:space="preserve"> </w:t>
      </w:r>
      <w:r>
        <w:rPr>
          <w:rStyle w:val="VerbatimChar"/>
        </w:rPr>
        <w:t xml:space="preserve">sovon_bmp_plotjaar</w:t>
      </w:r>
      <w:r>
        <w:t xml:space="preserve">. De 373 SOVON-regels met samen 756 territoria voor M8/2008, M45/2018, M8/2018, M75/2024 en M51/2025 zijn na een herstelde en geteste back-up uit</w:t>
      </w:r>
      <w:r>
        <w:t xml:space="preserve"> </w:t>
      </w:r>
      <w:r>
        <w:rPr>
          <w:rStyle w:val="VerbatimChar"/>
        </w:rPr>
        <w:t xml:space="preserve">territoria</w:t>
      </w:r>
      <w:r>
        <w:t xml:space="preserve"> </w:t>
      </w:r>
      <w:r>
        <w:t xml:space="preserve">verwijderd. Geen van de 25 plotjaren bevat nog een</w:t>
      </w:r>
      <w:r>
        <w:t xml:space="preserve"> </w:t>
      </w:r>
      <w:r>
        <w:rPr>
          <w:rStyle w:val="VerbatimChar"/>
        </w:rPr>
        <w:t xml:space="preserve">sovon_m</w:t>
      </w:r>
      <w:r>
        <w:t xml:space="preserve">-regel. Wel blijven voor M35 in 1984-1987 en 2000 60 regels uit</w:t>
      </w:r>
      <w:r>
        <w:t xml:space="preserve"> </w:t>
      </w:r>
      <w:r>
        <w:rPr>
          <w:rStyle w:val="VerbatimChar"/>
        </w:rPr>
        <w:t xml:space="preserve">jrvslg_m</w:t>
      </w:r>
      <w:r>
        <w:t xml:space="preserve"> </w:t>
      </w:r>
      <w:r>
        <w:t xml:space="preserve">en vier uit</w:t>
      </w:r>
      <w:r>
        <w:t xml:space="preserve"> </w:t>
      </w:r>
      <w:r>
        <w:rPr>
          <w:rStyle w:val="VerbatimChar"/>
        </w:rPr>
        <w:t xml:space="preserve">meeuwen_literatuur</w:t>
      </w:r>
      <w:r>
        <w:t xml:space="preserve">, samen 481 territoria, volgens de afzonderlijke bronregels behouden. Bezoeken en individueel herleidbare waarnemingen blijven in de kerntabellen als auditspoor.</w:t>
      </w:r>
    </w:p>
    <w:p>
      <w:pPr>
        <w:pStyle w:val="BodyText"/>
      </w:pPr>
      <w:r>
        <w:t xml:space="preserve">M8/2019 staat bij de actuele controle groen en vervangt daarom de eerdere afkeuringsbeslissing. De 10 bezoeken en 483 vogelwaarnemingen stonden al in de database. Uit het SOVON-standaardresultatenbestand zijn 19 positieve regels met samen 114 territoria hersteld. De 107 matrixcellen zijn allemaal leeg; er is daarom geen nul toegevoegd. De twaalf overige oranje-rode combinaties zonder bezoeken, soorten of records bevatten in de downloads samen 980 uitsluitend lege matrixcellen en nul standaardresultaten, bezoeken, waarnemingspunten en territoriumpunten. Zij zijn niet als afgekeurde telling en ook niet als plotjaarrecord vastgelegd. M35/2004 bevat wel 20 bestaande regels uit</w:t>
      </w:r>
      <w:r>
        <w:t xml:space="preserve"> </w:t>
      </w:r>
      <w:r>
        <w:rPr>
          <w:rStyle w:val="VerbatimChar"/>
        </w:rPr>
        <w:t xml:space="preserve">jrvslg_m</w:t>
      </w:r>
      <w:r>
        <w:t xml:space="preserve">, samen 44 territoria; die niet-SOVON-bron blijft ongemoeid.</w:t>
      </w:r>
    </w:p>
    <w:p>
      <w:pPr>
        <w:pStyle w:val="BodyText"/>
      </w:pPr>
      <w:r>
        <w:t xml:space="preserve">M53/2007 vraagt een afzonderlijke beperking. SOVON toont 8 bezoeken, 36 soorten en 36 records, maar de acht bezoeken bevatten elk nul soorten en nul exemplaren; de detailpagina geeft aan dat uitsluitend territoriumlocaties zijn ingevoerd. De jaar-download bevat 99 lege matrixcellen en geen standaardresultaten, waarnemingspunten of territoriumpunten. De ingelogde interface biedt alleen kaart- en PDF-uitvoer, niet de individuele bron-ID, datum en bezoekkoppeling die nodig zijn voor</w:t>
      </w:r>
      <w:r>
        <w:t xml:space="preserve"> </w:t>
      </w:r>
      <w:r>
        <w:rPr>
          <w:rStyle w:val="VerbatimChar"/>
        </w:rPr>
        <w:t xml:space="preserve">dagwaarnemingen_bmp</w:t>
      </w:r>
      <w:r>
        <w:t xml:space="preserve">. Daarom zijn geen individuele waarnemingen gereconstrueerd.</w:t>
      </w:r>
      <w:r>
        <w:t xml:space="preserve"> </w:t>
      </w:r>
      <w:r>
        <w:rPr>
          <w:rStyle w:val="VerbatimChar"/>
        </w:rPr>
        <w:t xml:space="preserve">dagbezoeken_bmp</w:t>
      </w:r>
      <w:r>
        <w:t xml:space="preserve"> </w:t>
      </w:r>
      <w:r>
        <w:t xml:space="preserve">bevat de 8 bezoeken;</w:t>
      </w:r>
      <w:r>
        <w:t xml:space="preserve"> </w:t>
      </w:r>
      <w:r>
        <w:rPr>
          <w:rStyle w:val="VerbatimChar"/>
        </w:rPr>
        <w:t xml:space="preserve">dagwaarnemingen_bmp</w:t>
      </w:r>
      <w:r>
        <w:t xml:space="preserve"> </w:t>
      </w:r>
      <w:r>
        <w:t xml:space="preserve">en</w:t>
      </w:r>
      <w:r>
        <w:t xml:space="preserve"> </w:t>
      </w:r>
      <w:r>
        <w:rPr>
          <w:rStyle w:val="VerbatimChar"/>
        </w:rPr>
        <w:t xml:space="preserve">territoria</w:t>
      </w:r>
      <w:r>
        <w:t xml:space="preserve"> </w:t>
      </w:r>
      <w:r>
        <w:t xml:space="preserve">bevatten voor dit plotjaar nul regels. De status en deze beperking staan wel in</w:t>
      </w:r>
      <w:r>
        <w:t xml:space="preserve"> </w:t>
      </w:r>
      <w:r>
        <w:rPr>
          <w:rStyle w:val="VerbatimChar"/>
        </w:rPr>
        <w:t xml:space="preserve">sovon_bmp_plotjaar</w:t>
      </w:r>
      <w:r>
        <w:t xml:space="preserve">.</w:t>
      </w:r>
    </w:p>
    <w:p>
      <w:pPr>
        <w:pStyle w:val="BodyText"/>
      </w:pPr>
      <w:r>
        <w:rPr>
          <w:b/>
          <w:bCs/>
        </w:rPr>
        <w:t xml:space="preserve">Natura 2000-analysescope vogelplots, vastgesteld 1 oktober 2026 en bijgewerkt na de volledige SOVON-controle.</w:t>
      </w:r>
      <w:r>
        <w:t xml:space="preserve"> </w:t>
      </w:r>
      <w:r>
        <w:t xml:space="preserve">De geldige bronverzameling</w:t>
      </w:r>
      <w:r>
        <w:t xml:space="preserve"> </w:t>
      </w:r>
      <w:r>
        <w:rPr>
          <w:rStyle w:val="VerbatimChar"/>
        </w:rPr>
        <w:t xml:space="preserve">territoria</w:t>
      </w:r>
      <w:r>
        <w:t xml:space="preserve"> </w:t>
      </w:r>
      <w:r>
        <w:t xml:space="preserve">bevat 157.580 regels, 54 plots en 2.164 plotjaren uit 1958-2025. M66 (Haagsche Golf Club,</w:t>
      </w:r>
      <w:r>
        <w:t xml:space="preserve"> </w:t>
      </w:r>
      <w:r>
        <w:rPr>
          <w:rStyle w:val="VerbatimChar"/>
        </w:rPr>
        <w:t xml:space="preserve">plot_id = 3503</w:t>
      </w:r>
      <w:r>
        <w:t xml:space="preserve">) bevat daarin 4.323 regels en 10.420 territoria in 39 jaren uit 1985-2025. M91 (Voorlinden,</w:t>
      </w:r>
      <w:r>
        <w:t xml:space="preserve"> </w:t>
      </w:r>
      <w:r>
        <w:rPr>
          <w:rStyle w:val="VerbatimChar"/>
        </w:rPr>
        <w:t xml:space="preserve">plot_id = 3514</w:t>
      </w:r>
      <w:r>
        <w:t xml:space="preserve">) bevat 1.674 regels en 4.672 territoria in 18 jaren uit 1993-2021. Beide plots blijven als geldige brondata bewaard, maar hebben in</w:t>
      </w:r>
      <w:r>
        <w:t xml:space="preserve"> </w:t>
      </w:r>
      <w:r>
        <w:rPr>
          <w:rStyle w:val="VerbatimChar"/>
        </w:rPr>
        <w:t xml:space="preserve">plot_analyse_scope</w:t>
      </w:r>
      <w:r>
        <w:t xml:space="preserve"> </w:t>
      </w:r>
      <w:r>
        <w:t xml:space="preserve">onder</w:t>
      </w:r>
      <w:r>
        <w:t xml:space="preserve"> </w:t>
      </w:r>
      <w:r>
        <w:rPr>
          <w:rStyle w:val="VerbatimChar"/>
        </w:rPr>
        <w:t xml:space="preserve">meijendel_natura2000</w:t>
      </w:r>
      <w:r>
        <w:t xml:space="preserve"> </w:t>
      </w:r>
      <w:r>
        <w:t xml:space="preserve">de status</w:t>
      </w:r>
      <w:r>
        <w:t xml:space="preserve"> </w:t>
      </w:r>
      <w:r>
        <w:rPr>
          <w:rStyle w:val="VerbatimChar"/>
        </w:rPr>
        <w:t xml:space="preserve">in_scope = 0</w:t>
      </w:r>
      <w:r>
        <w:t xml:space="preserve"> </w:t>
      </w:r>
      <w:r>
        <w:t xml:space="preserve">met reden</w:t>
      </w:r>
      <w:r>
        <w:t xml:space="preserve"> </w:t>
      </w:r>
      <w:r>
        <w:rPr>
          <w:rStyle w:val="VerbatimChar"/>
        </w:rPr>
        <w:t xml:space="preserve">Geen onderdeel van Natura 2000-analysegebied.</w:t>
      </w:r>
      <w:r>
        <w:t xml:space="preserve"> </w:t>
      </w:r>
      <w:r>
        <w:t xml:space="preserve">De standaardselectie via</w:t>
      </w:r>
      <w:r>
        <w:t xml:space="preserve"> </w:t>
      </w:r>
      <w:r>
        <w:rPr>
          <w:rStyle w:val="VerbatimChar"/>
        </w:rPr>
        <w:t xml:space="preserve">v_meijendel_analyseplot_actueel</w:t>
      </w:r>
      <w:r>
        <w:t xml:space="preserve"> </w:t>
      </w:r>
      <w:r>
        <w:t xml:space="preserve">bevat daardoor 151.583 territoriumregels, 52 plots en 2.107 plotjaren uit 1958-2025. Repositoryberekeningen gebruiken deze scope standaard en nemen M66 en/of M91 alleen mee na een uitdrukkelijke keuze van de gebruiker.</w:t>
      </w:r>
      <w:r>
        <w:t xml:space="preserve"> </w:t>
      </w:r>
      <w:r>
        <w:rPr>
          <w:rStyle w:val="VerbatimChar"/>
        </w:rPr>
        <w:t xml:space="preserve">plots.in_gebruik</w:t>
      </w:r>
      <w:r>
        <w:t xml:space="preserve"> </w:t>
      </w:r>
      <w:r>
        <w:t xml:space="preserve">beschrijft alleen actueel gebruik en bepaalt deze inhoudelijke grens niet.</w:t>
      </w:r>
    </w:p>
    <w:p>
      <w:pPr>
        <w:pStyle w:val="BodyText"/>
      </w:pPr>
      <w:r>
        <w:rPr>
          <w:b/>
          <w:bCs/>
        </w:rPr>
        <w:t xml:space="preserve">Standaard analysepoort territoria, vastgesteld 4 oktober en aangevuld 7 oktober 2026.</w:t>
      </w:r>
      <w:r>
        <w:t xml:space="preserve"> </w:t>
      </w:r>
      <w:r>
        <w:t xml:space="preserve">Batchanalyse, Shiny en de zelfstandige GEE/power-route gebruiken dezelfde statusgestuurde selectie. Binnen de standaardscope met 151.583 territoriumregels in 52 plots en 2.107 plotjaren uit 1958-2025 is een aanwezige geaccepteerde bronregel een analysewaarde. De 86.693 letterlijke</w:t>
      </w:r>
      <w:r>
        <w:t xml:space="preserve"> </w:t>
      </w:r>
      <w:r>
        <w:rPr>
          <w:rStyle w:val="VerbatimChar"/>
        </w:rPr>
        <w:t xml:space="preserve">sovon_m</w:t>
      </w:r>
      <w:r>
        <w:t xml:space="preserve">-nullen uit 1984-2025 blijven nul; een lege SOVON-cel blijft</w:t>
      </w:r>
      <w:r>
        <w:t xml:space="preserve"> </w:t>
      </w:r>
      <w:r>
        <w:rPr>
          <w:rStyle w:val="VerbatimChar"/>
        </w:rPr>
        <w:t xml:space="preserve">NA</w:t>
      </w:r>
      <w:r>
        <w:t xml:space="preserve">. Alleen voor de zelfstandige jaarverslagbron geldt daarnaast de hierboven vastgelegde afleiding</w:t>
      </w:r>
      <w:r>
        <w:t xml:space="preserve"> </w:t>
      </w:r>
      <w:r>
        <w:rPr>
          <w:rStyle w:val="VerbatimChar"/>
        </w:rPr>
        <w:t xml:space="preserve">afgeleide_jaarverslagnul</w:t>
      </w:r>
      <w:r>
        <w:t xml:space="preserve">. De 25 formeel afgekeurde SOVON-plotjaren uit 1984-2025 leveren voor SOVON geen analysewaarde. De 60</w:t>
      </w:r>
      <w:r>
        <w:t xml:space="preserve"> </w:t>
      </w:r>
      <w:r>
        <w:rPr>
          <w:rStyle w:val="VerbatimChar"/>
        </w:rPr>
        <w:t xml:space="preserve">jrvslg_m</w:t>
      </w:r>
      <w:r>
        <w:t xml:space="preserve">-regels en vier</w:t>
      </w:r>
      <w:r>
        <w:t xml:space="preserve"> </w:t>
      </w:r>
      <w:r>
        <w:rPr>
          <w:rStyle w:val="VerbatimChar"/>
        </w:rPr>
        <w:t xml:space="preserve">meeuwen_literatuur</w:t>
      </w:r>
      <w:r>
        <w:t xml:space="preserve">-regels voor M35 in vijf van die afgekeurde plotjaren blijven als onafhankelijke bronwaarden geldig. M66 en M91 blijven standaard uitgesloten;</w:t>
      </w:r>
      <w:r>
        <w:t xml:space="preserve"> </w:t>
      </w:r>
      <w:r>
        <w:rPr>
          <w:rStyle w:val="VerbatimChar"/>
        </w:rPr>
        <w:t xml:space="preserve">plots.in_gebruik</w:t>
      </w:r>
      <w:r>
        <w:t xml:space="preserve"> </w:t>
      </w:r>
      <w:r>
        <w:t xml:space="preserve">bepaalt deze inhoudelijke scope niet. Een soort komt pas in de analysepopulatie wanneer binnen exact de gebruikte plot-jaar-basis minstens één geaccepteerd positief territorium aanwezig is; nulregels vullen daarna de meetmatrix aan, maar maken op zichzelf geen soort tot analysekandidaat. GEE/GLMM-kenmerkenanalyses nemen zulke nul-only-soorten niet als afzonderlijk cluster op. Een groeps-, richtlijn- of habitatgroeptotaal wordt alleen berekend wanneer alle samenstellende soortcellen voor dat plotjaar een geaccepteerde waarde hebben; een gedeeltelijke som blijft</w:t>
      </w:r>
      <w:r>
        <w:t xml:space="preserve"> </w:t>
      </w:r>
      <w:r>
        <w:rPr>
          <w:rStyle w:val="VerbatimChar"/>
        </w:rPr>
        <w:t xml:space="preserve">NA</w:t>
      </w:r>
      <w:r>
        <w:t xml:space="preserve">. De herberekende hoofd-TRIM-uitvoer over 1958-2025 bevat 156 soorten in de statuslaag, 135 soorten met minimaal één indexreeks en 93 soorten met een brugbare reeks in beide modelperioden. De Sandra-uitvoer over 25 plots in 1997-2022 bevat 132 positief waargenomen soorten en 110 formele soorttrends. Deze poort is ook de standaard voor datasets waarmee de power voor relaties met vegetatieontwikkeling of beheermaatregelen wordt beoordeeld; ontbrekende bronwaarden worden alleen als afwezigheid gebruikt wanneer de toepasselijke bronregel dat uitdrukkelijk rechtvaardigt.</w:t>
      </w:r>
    </w:p>
    <w:p>
      <w:pPr>
        <w:pStyle w:val="Heading3"/>
      </w:pPr>
      <w:bookmarkStart w:id="15" w:name="_8a72a17aa3ecdd9f667bccd1a9ca55413034b5d"/>
      <w:r>
        <w:t xml:space="preserve">1.2. Provinciale permanente kwadraten</w:t>
      </w:r>
      <w:bookmarkEnd w:id="15"/>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en primaire bron.</w:t>
      </w:r>
    </w:p>
    <w:p>
      <w:pPr>
        <w:pStyle w:val="BodyText"/>
      </w:pPr>
      <w:r>
        <w:rPr>
          <w:b/>
          <w:bCs/>
        </w:rPr>
        <w:t xml:space="preserve">PQ-integratie, 27–28 september 2026.</w:t>
      </w:r>
      <w:r>
        <w:t xml:space="preserve"> </w:t>
      </w:r>
      <w:r>
        <w:t xml:space="preserve">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p>
      <w:pPr>
        <w:pStyle w:val="BodyText"/>
      </w:pPr>
      <w:r>
        <w:rPr>
          <w:b/>
          <w:bCs/>
        </w:rPr>
        <w:t xml:space="preserve">Vergelijking met NDFF, 10 oktober 2026.</w:t>
      </w:r>
      <w:r>
        <w:t xml:space="preserve"> </w:t>
      </w:r>
      <w:r>
        <w:t xml:space="preserve">De eerdere uitkomst dat 1.039 van 2.007 provinciale opnamen uit 1981–2025 in de openbare NDFF-download herkenbaar waren, was een resultaat van de toenmalige strikte matchmethode, niet een maat voor volledige NDFF-dekking. Binnen het huidige Meijendelgebied liggen 1.363 provinciale opnamen; 897 daarvan matchen strikt met de openbare export en 916 na een voorlopige proef met de gemelde verschuiving van beide coördinaten met 5 meter. Naamvarianten leveren op opnameniveau geen extra matches op. Van de 434 provinciale opnamen binnen Meijendel uit 2018–2025 blijven 91 herkenbaar. Afzonderlijk zijn bij 127 opnamen kandidaatmatches gevonden in de beveiligde, openbaar vervaagde NDFF-gegevens; deze kunnen overlappen met de openbare matches en worden niet opgeteld. De reden voor de overige niet-matches staat niet vast. De provinciale PQ-reeks blijft primair; NDFF-PQ telt niet als een tweede opname mee. De methode en de uitsplitsing naar taxonregels staan in</w:t>
      </w:r>
      <w:r>
        <w:t xml:space="preserve"> </w:t>
      </w:r>
      <w:r>
        <w:rPr>
          <w:rStyle w:val="VerbatimChar"/>
        </w:rPr>
        <w:t xml:space="preserve">docs/bronnen/bronvergelijkingen/NDFF_STAGINGDATASET.md</w:t>
      </w:r>
      <w:r>
        <w:t xml:space="preserve">.</w:t>
      </w:r>
    </w:p>
    <w:p>
      <w:pPr>
        <w:pStyle w:val="Heading3"/>
      </w:pPr>
      <w:bookmarkStart w:id="16" w:name="_ded6c184b9a569c146345b6e935b052f391caf7"/>
      <w:r>
        <w:t xml:space="preserve">1.3. Zoogdieren tijdens SOVON- en VWG-bezoeken</w:t>
      </w:r>
      <w:bookmarkEnd w:id="16"/>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p>
      <w:pPr>
        <w:pStyle w:val="BodyText"/>
      </w:pPr>
      <w:r>
        <w:rPr>
          <w:b/>
          <w:bCs/>
        </w:rPr>
        <w:t xml:space="preserve">Aanvullende bezoektotalen 2005–2022, 3 oktober 2026.</w:t>
      </w:r>
      <w:r>
        <w:t xml:space="preserve"> </w:t>
      </w:r>
      <w:r>
        <w:t xml:space="preserve">De vier tabellen</w:t>
      </w:r>
      <w:r>
        <w:t xml:space="preserve"> </w:t>
      </w:r>
      <w:r>
        <w:rPr>
          <w:rStyle w:val="VerbatimChar"/>
        </w:rPr>
        <w:t xml:space="preserve">ndff_daz_bmp_*</w:t>
      </w:r>
      <w:r>
        <w:t xml:space="preserve"> </w:t>
      </w:r>
      <w:r>
        <w:t xml:space="preserve">zijn zonder kopie of gegevensverlies hernoemd naar</w:t>
      </w:r>
      <w:r>
        <w:t xml:space="preserve"> </w:t>
      </w:r>
      <w:r>
        <w:rPr>
          <w:rStyle w:val="VerbatimChar"/>
        </w:rPr>
        <w:t xml:space="preserve">daz_bmp_*</w:t>
      </w:r>
      <w:r>
        <w:t xml:space="preserve">. Alle historische rijen, foreign keys, centrale taxonroutes en reconstructieversies zijn behouden. Het schema ondersteunt daarnaast positieve SOVON-bezoektotalen met een afzonderlijk aantal buiten het plot en met</w:t>
      </w:r>
      <w:r>
        <w:t xml:space="preserve"> </w:t>
      </w:r>
      <w:r>
        <w:rPr>
          <w:rStyle w:val="VerbatimChar"/>
        </w:rPr>
        <w:t xml:space="preserve">geen_nulafleiding</w:t>
      </w:r>
      <w:r>
        <w:t xml:space="preserve"> </w:t>
      </w:r>
      <w:r>
        <w:t xml:space="preserve">als expliciete status. Onder</w:t>
      </w:r>
      <w:r>
        <w:t xml:space="preserve"> </w:t>
      </w:r>
      <w:r>
        <w:rPr>
          <w:rStyle w:val="VerbatimChar"/>
        </w:rPr>
        <w:t xml:space="preserve">sovon-bmp-jaarbestanden-v1</w:t>
      </w:r>
      <w:r>
        <w:t xml:space="preserve"> </w:t>
      </w:r>
      <w:r>
        <w:t xml:space="preserve">staan nu 4.281 aanvullende bezoek-taxoncellen op 2.536 bezoeken, met 16.221 dieren binnen en 370 buiten het plot. De 22 betrokken brontaxa zijn via versiegebonden koppelingen centraal bereikbaar; de routes blijven kandidaat/onbekend en leggen geen onbewezen conceptgelijkheid vast. Gelijke bronwaarden zijn niet gedupliceerd. Afwijkende positieve SOVON-bezoektotalen staan met afzonderlijke herkomst naast het NDFF-auditspoor; SOVON is bij gecombineerd gebruik leidend en beide lagen worden nooit opgeteld. Deze bezoekaggregaten blijven afzonderlijk van de 19.877 individuele SOVON/AVIMAP-waarnemingen hierboven.</w:t>
      </w:r>
    </w:p>
    <w:p>
      <w:pPr>
        <w:pStyle w:val="BodyText"/>
      </w:pPr>
      <w:r>
        <w:t xml:space="preserve">De 7.552 eerder uit</w:t>
      </w:r>
      <w:r>
        <w:t xml:space="preserve"> </w:t>
      </w:r>
      <w:r>
        <w:rPr>
          <w:rStyle w:val="VerbatimChar"/>
        </w:rPr>
        <w:t xml:space="preserve">ndff-daz-bmp-v1</w:t>
      </w:r>
      <w:r>
        <w:t xml:space="preserve"> </w:t>
      </w:r>
      <w:r>
        <w:t xml:space="preserve">afgeleide nulregels zijn als volledig historisch auditspoor bewaard, maar herclassificeerd als</w:t>
      </w:r>
      <w:r>
        <w:t xml:space="preserve"> </w:t>
      </w:r>
      <w:r>
        <w:rPr>
          <w:rStyle w:val="VerbatimChar"/>
        </w:rPr>
        <w:t xml:space="preserve">historische_afgeleide_nul</w:t>
      </w:r>
      <w:r>
        <w:t xml:space="preserve">. De 1.475 bijbehorende bezoeken vermelden expliciet dat de reconstructie geen bewijs van afwezigheid levert. De regels zijn daarmee ongeschikt voor analyses die echte nullen vereisen.</w:t>
      </w:r>
    </w:p>
    <w:p>
      <w:pPr>
        <w:pStyle w:val="BodyText"/>
      </w:pPr>
      <w:r>
        <w:t xml:space="preserve">De centrale taxonroute bindt afgeleide bronidentiteiten mede aan de tabelnaam. Daarom zijn ook de 23 gebruikte bronkoppelingen naar</w:t>
      </w:r>
      <w:r>
        <w:t xml:space="preserve"> </w:t>
      </w:r>
      <w:r>
        <w:rPr>
          <w:rStyle w:val="VerbatimChar"/>
        </w:rPr>
        <w:t xml:space="preserve">daz_bmp_bezoek_taxon</w:t>
      </w:r>
      <w:r>
        <w:t xml:space="preserve"> </w:t>
      </w:r>
      <w:r>
        <w:t xml:space="preserve">gemigreerd en zijn alle centrale schrijfguards opnieuw opgebouwd. Geen koppeling werd door een andere waarnemingstabel gedeeld. De volledige controle van 279 tabellen en 128 taxonroutes geeft nul fouten. Twee afzonderlijke tabelback-ups zijn met ongewijzigde SHA-256 teruggelezen in tijdelijke databases; beide herstelproeven reproduceerden exact de vier tabelrijtellingen vóór de betreffende wijziging.</w:t>
      </w:r>
    </w:p>
    <w:p>
      <w:pPr>
        <w:pStyle w:val="Heading3"/>
      </w:pPr>
      <w:bookmarkStart w:id="17" w:name="_94090b81dff39a8cf27d4389271118caece3ef6"/>
      <w:r>
        <w:t xml:space="preserve">1.4. Historisch vangblikonderzoek</w:t>
      </w:r>
      <w:bookmarkEnd w:id="17"/>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8">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p>
      <w:pPr>
        <w:pStyle w:val="BodyText"/>
      </w:pPr>
      <w:r>
        <w:rPr>
          <w:b/>
          <w:bCs/>
        </w:rPr>
        <w:t xml:space="preserve">Vangblik-opschoning, 28 september 2026.</w:t>
      </w:r>
      <w:r>
        <w:t xml:space="preserve"> </w:t>
      </w:r>
      <w:r>
        <w:t xml:space="preserve">De 60.560 vangstregels uit 1953–1960 zijn lokaal rechtstreeks verbonden met het centrale taxonregister. De 275 oorspronkelijke taxonvermeldingen zijn daar met alle bronvelden behouden; de afzonderlijke tabel</w:t>
      </w:r>
      <w:r>
        <w:t xml:space="preserve"> </w:t>
      </w:r>
      <w:r>
        <w:rPr>
          <w:rStyle w:val="VerbatimChar"/>
        </w:rPr>
        <w:t xml:space="preserve">vangblik_soorten</w:t>
      </w:r>
      <w:r>
        <w:t xml:space="preserve"> </w:t>
      </w:r>
      <w:r>
        <w:t xml:space="preserve">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p>
      <w:pPr>
        <w:pStyle w:val="Heading3"/>
      </w:pPr>
      <w:bookmarkStart w:id="19" w:name="_003d1b4454050d8b2300662d18ee0e6097f4328"/>
      <w:r>
        <w:t xml:space="preserve">1.5. NDFF: één canonieke laag van openbare en beveiligde gegevens</w:t>
      </w:r>
      <w:bookmarkEnd w:id="19"/>
    </w:p>
    <w:p>
      <w:pPr>
        <w:pStyle w:val="FirstParagraph"/>
      </w:pPr>
      <w:r>
        <w:rPr>
          <w:b/>
          <w:bCs/>
        </w:rPr>
        <w:t xml:space="preserve">Omvang en periode.</w:t>
      </w:r>
      <w:r>
        <w:t xml:space="preserve"> </w:t>
      </w:r>
      <w:r>
        <w:t xml:space="preserve">De openbare levering bevat 810.830 unieke niet-vogelrecords uit de downloadselectie 1950–2025. De ruwe bronjaren lopen echter van 1700 tot 2025: 5.336 regels hebben een bronjaar in 1700–1949. Dat bevestigt geen waarnemingsdatum in die eerdere jaren; bronintervallen en datumkwaliteit blijven per record behouden.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p>
      <w:pPr>
        <w:pStyle w:val="Heading4"/>
      </w:pPr>
      <w:bookmarkStart w:id="20" w:name="_dagvlinders"/>
      <w:r>
        <w:t xml:space="preserve">1.5.1. Dagvlinders</w:t>
      </w:r>
      <w:bookmarkEnd w:id="20"/>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p>
      <w:pPr>
        <w:pStyle w:val="Heading4"/>
      </w:pPr>
      <w:bookmarkStart w:id="21" w:name="_hommels"/>
      <w:r>
        <w:t xml:space="preserve">1.5.2. Hommels</w:t>
      </w:r>
      <w:bookmarkEnd w:id="21"/>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p>
      <w:pPr>
        <w:pStyle w:val="Heading4"/>
      </w:pPr>
      <w:bookmarkStart w:id="22" w:name="_libellen"/>
      <w:r>
        <w:t xml:space="preserve">1.5.3. Libellen</w:t>
      </w:r>
      <w:bookmarkEnd w:id="22"/>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p>
      <w:pPr>
        <w:pStyle w:val="BodyText"/>
      </w:pPr>
      <w:r>
        <w:t>Selectie voor bezoekanalyses, 17 oktober 2026. Gebruik ndff-libellen-selectie-v1 via --selecteer-libellen in gis/scripts/import_ndff_protocolkwaliteit.py. De selectie wordt opnieuw berekend uit de levende database, voor analysetype TV of TA. Alleen een gereconstrueerd algemeen routebezoek waarvan alle bronrecords voorlopig_bruikbaar zijn, binnen meijendel_natura2000 vallen en het gekozen analysetype toestaan, wordt met zijn volledige bestaande taxonmatrix doorgegeven. Ontbrekende of dubbele bron-/analysekoppelingen, afwijkende bezoekaantallen, plots zonder scopestatus en ontbrekende centrale taxonkoppelingen blokkeren de selectie. Taxa zonder soortgroep blijven bereikbaar.</w:t>
      </w:r>
    </w:p>
    <w:p>
      <w:pPr>
        <w:pStyle w:val="BodyText"/>
      </w:pPr>
      <w:r>
        <w:t>De controle van de 3.280 bronrecords en 461 bezoeken uit 2007–2021 selecteert 98 bezoeken met 515 bronrecords uit 2010–2021. Hun bestaande matrix bevat 2.842 regels: 353 positieve combinaties en 2.489 afgeleide nullen. De 73 gedeeltelijk toegelaten bezoeken uit 2010–2020 en de 290 geheel uitgesloten bezoeken uit 2007–2020 worden niet als volledige matrix doorgegeven. De afzonderlijk toegelaten positieve records uit gedeeltelijke bezoeken blijven beschikbaar als voorkomensinformatie via de bestaande NDFF-analyseview. De selectie bewaart gegevensgeschiktheid, kwaliteitsmelding, het nulbewijs en de centrale taxonverwijzing. Zij bevestigt geen gevalideerde trend of afwezigheid. Er zijn geen records, bestaande nullen of analysebesluiten gewijzigd en geen extra tabellen of views gemaakt.</w:t>
      </w:r>
    </w:p>
    <w:p>
      <w:pPr>
        <w:pStyle w:val="BodyText"/>
      </w:pPr>
      <w:r>
        <w:t>De alleen-lezen T7-controle van 17 oktober 2026 vond in de gecontroleerde gegevensmap en archiefinhoud geen afzonderlijke Vlinderstichting-levering. Alle 3.280 libellenregels uit 2007–2021 in de stagingdataset komen op identificatie, periode, taxonnaam, aantal en protocol overeen met de levende database. De beveiligde NDFF-levering van 14.573 records uit 1950–2025 bevat geen 07.201-records en geen gevuld sessionid. Deze controle sluit een levering elders niet uit; de oorspronkelijke route- en bezoekadministratie is hiermee niet verkregen.</w:t>
      </w:r>
    </w:p>
    <w:p>
      <w:pPr/>
      <w:r>
        <w:t>De dekkingscontrole van 17 oktober 2026 verdeelt deze 98 bezoeken uit 2010–2021 over zes gereconstrueerde routefamilies; 2016, 2018 en 2019 ontbreken in deze selectie en gelden niet als nuljaren. Routefamilie 3 in M16 bevat 56 bezoeken uit 2010–2015. Daarbinnen vormen 36 bezoeken met 156 bronrecords uit juni–augustus een eerste beschrijvende vergelijking: elk jaar zes bezoeken, twee per maand. De 1.044 matrixregels bevatten 103 positieve combinaties voor elf taxa en 941 bestaande afgeleide nullen; achttien van de 29 taxa hebben geen positieve registratie in deze deelreeks. Dit bewijst geen afwezigheid of populatietrend. In M74 vallen 28 geselecteerde bezoeken uit 2020–2021 op veertien gedeelde plot-datums; zonder oorspronkelijke routeadministratie worden zij niet als bewezen onafhankelijke herhalingen opgeteld. De volledige dekking en alle 29 taxonuitkomsten staan in de protocolaudit. De kwaliteitsstatus blijft niet_beoordeeld.</w:t>
      </w:r>
    </w:p>
    <w:p>
      <w:pPr>
        <w:pStyle w:val="Heading4"/>
      </w:pPr>
      <w:bookmarkStart w:id="23" w:name="_nachtvlinders"/>
      <w:r>
        <w:t xml:space="preserve">1.5.4. Nachtvlinders</w:t>
      </w:r>
      <w:bookmarkEnd w:id="23"/>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p>
      <w:pPr>
        <w:pStyle w:val="Heading4"/>
      </w:pPr>
      <w:bookmarkStart w:id="24" w:name="_amfibieën"/>
      <w:r>
        <w:t xml:space="preserve">1.5.5. Amfibieën</w:t>
      </w:r>
      <w:bookmarkEnd w:id="24"/>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p>
      <w:pPr>
        <w:pStyle w:val="Heading4"/>
      </w:pPr>
      <w:bookmarkStart w:id="25" w:name="_reptielen"/>
      <w:r>
        <w:t xml:space="preserve">1.5.6. Reptielen</w:t>
      </w:r>
      <w:bookmarkEnd w:id="25"/>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p>
      <w:pPr>
        <w:pStyle w:val="Heading4"/>
      </w:pPr>
      <w:bookmarkStart w:id="26" w:name="_vissen"/>
      <w:r>
        <w:t xml:space="preserve">1.5.7. Vissen</w:t>
      </w:r>
      <w:bookmarkEnd w:id="26"/>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p>
      <w:pPr>
        <w:pStyle w:val="Heading4"/>
      </w:pPr>
      <w:bookmarkStart w:id="27" w:name="_vleermuistransecten"/>
      <w:r>
        <w:t xml:space="preserve">1.5.8. Vleermuistransecten</w:t>
      </w:r>
      <w:bookmarkEnd w:id="27"/>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p>
      <w:pPr>
        <w:pStyle w:val="Heading4"/>
      </w:pPr>
      <w:bookmarkStart w:id="28" w:name="_38cdc6eff084869e7169beb9a7d0a36448859a3"/>
      <w:r>
        <w:t xml:space="preserve">1.5.9. Konijnentellingen in de duinen</w:t>
      </w:r>
      <w:bookmarkEnd w:id="28"/>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p>
      <w:pPr>
        <w:pStyle w:val="Heading4"/>
      </w:pPr>
      <w:bookmarkStart w:id="29" w:name="_b7507ab25f19a705cdaea288841b95e0326cd82"/>
      <w:r>
        <w:t xml:space="preserve">1.5.10. Wintertellingen vleermuizen</w:t>
      </w:r>
      <w:bookmarkEnd w:id="29"/>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p>
      <w:pPr>
        <w:pStyle w:val="Heading4"/>
      </w:pPr>
      <w:bookmarkStart w:id="30" w:name="_ba761ed76f0837e5aa40881d1ff3dfd4f2a2564"/>
      <w:r>
        <w:t xml:space="preserve">1.5.11. Het Nieuwe Strepen</w:t>
      </w:r>
      <w:bookmarkEnd w:id="30"/>
    </w:p>
    <w:p>
      <w:pPr>
        <w:pStyle w:val="FirstParagraph"/>
      </w:pPr>
      <w:r>
        <w:rPr>
          <w:b/>
          <w:bCs/>
        </w:rPr>
        <w:t xml:space="preserve">Omvang en periode.</w:t>
      </w:r>
      <w:r>
        <w:t xml:space="preserve"> </w:t>
      </w:r>
      <w:r>
        <w:t xml:space="preserve">4.569 records, 26 gereconstrueerde dag-hoktellingen, 2012–2024. Daarvan zijn 23 tellingen met minimaal vijftig taxa als aannemelijk volledig geclassificeerd en drie tellingen als fragment. Daarnaast zijn 39 vervaagde jaarregels niet aan een telling gekoppeld.</w:t>
      </w:r>
    </w:p>
    <w:p>
      <w:pPr>
        <w:pStyle w:val="BodyText"/>
      </w:pPr>
      <w:r>
        <w:rPr>
          <w:b/>
          <w:bCs/>
        </w:rPr>
        <w:t xml:space="preserve">Wat heeft FLORON bevestigd?</w:t>
      </w:r>
      <w:r>
        <w:t xml:space="preserve"> </w:t>
      </w:r>
      <w:r>
        <w:t xml:space="preserve">Op 6 oktober 2026 meldde FLORON dat één kalenderdag in één kilometerhok als telling mag worden beschouwd. Zo’n telling kan één, twee of drie oorspronkelijke lijsten omvatten. Persoonsgegevens en daarvan afgeleide waarnemerscodes worden niet geleverd. De</w:t>
      </w:r>
      <w:r>
        <w:t xml:space="preserve"> </w:t>
      </w:r>
      <w:r>
        <w:rPr>
          <w:rStyle w:val="VerbatimChar"/>
        </w:rPr>
        <w:t xml:space="preserve">uri</w:t>
      </w:r>
      <w:r>
        <w:t xml:space="preserve"> </w:t>
      </w:r>
      <w:r>
        <w:t xml:space="preserve">of</w:t>
      </w:r>
      <w:r>
        <w:t xml:space="preserve"> </w:t>
      </w:r>
      <w:r>
        <w:rPr>
          <w:rStyle w:val="VerbatimChar"/>
        </w:rPr>
        <w:t xml:space="preserve">identity</w:t>
      </w:r>
      <w:r>
        <w:t xml:space="preserve"> </w:t>
      </w:r>
      <w:r>
        <w:t xml:space="preserve">uit de NDFF-export is de stabiele sleutel van de afzonderlijke waarneming.</w:t>
      </w:r>
    </w:p>
    <w:p>
      <w:pPr>
        <w:pStyle w:val="BodyText"/>
      </w:pPr>
      <w:r>
        <w:rPr>
          <w:b/>
          <w:bCs/>
        </w:rPr>
        <w:t xml:space="preserve">Wat kan nu?</w:t>
      </w:r>
      <w:r>
        <w:t xml:space="preserve"> </w:t>
      </w:r>
      <w:r>
        <w:t xml:space="preserve">Regelversie</w:t>
      </w:r>
      <w:r>
        <w:t xml:space="preserve"> </w:t>
      </w:r>
      <w:r>
        <w:rPr>
          <w:rStyle w:val="VerbatimChar"/>
        </w:rPr>
        <w:t xml:space="preserve">ndff-hns-v2</w:t>
      </w:r>
      <w:r>
        <w:t xml:space="preserve"> </w:t>
      </w:r>
      <w:r>
        <w:t xml:space="preserve">is op 7 oktober 2026 in de lokale database opgebouwd. Ieder van de 26 clusters bevat precies één begindatum en één doelhok. De 4.439 positieve combinaties en 11.730 afgeleide protocolnullen kunnen voorlopig per dag en kilometerhok worden gebruikt voor inventarisatie- en occupancyanalyse. De onderliggende één tot drie lijsten mogen niet als afzonderlijke herhaaltellingen worden gebruikt.</w:t>
      </w:r>
    </w:p>
    <w:p>
      <w:pPr>
        <w:pStyle w:val="BodyText"/>
      </w:pPr>
      <w:r>
        <w:rPr>
          <w:b/>
          <w:bCs/>
        </w:rPr>
        <w:t xml:space="preserve">Wat is gecorrigeerd?</w:t>
      </w:r>
      <w:r>
        <w:t xml:space="preserve"> </w:t>
      </w:r>
      <w:r>
        <w:t xml:space="preserve">V2 gebruikt steeds de begindatum als teldatum; een latere</w:t>
      </w:r>
      <w:r>
        <w:t xml:space="preserve"> </w:t>
      </w:r>
      <w:r>
        <w:rPr>
          <w:rStyle w:val="VerbatimChar"/>
        </w:rPr>
        <w:t xml:space="preserve">periode_stop</w:t>
      </w:r>
      <w:r>
        <w:t xml:space="preserve"> </w:t>
      </w:r>
      <w:r>
        <w:t xml:space="preserve">geldt niet als tweede velddag. Bij 21 tellingen staat nu neutraal dat hetzelfde hok in hetzelfde jaar op meerdere kalenderdagen is geteld. Dat zegt niets over onafhankelijke waarnemers. De recordselectie, het doelbereik, de 4.439 positieve combinaties en de 11.730 nullen zijn gelijk aan v1. V1 blijft als historisch auditspoor bewaard. De indeling van 23 volledige tellingen en drie fragmenten blijft een lokale reconstructie en moet als zodanig zichtbaar blijven.</w:t>
      </w:r>
    </w:p>
    <w:p>
      <w:pPr>
        <w:pStyle w:val="Heading4"/>
      </w:pPr>
      <w:bookmarkStart w:id="31" w:name="_add682eaf9770b54759a1b54720dedd522bc07f"/>
      <w:r>
        <w:t xml:space="preserve">1.5.12. FLORBASE en andere vaatplantinventarisaties</w:t>
      </w:r>
      <w:bookmarkEnd w:id="31"/>
    </w:p>
    <w:p>
      <w:pPr>
        <w:pStyle w:val="FirstParagraph"/>
      </w:pPr>
      <w:r>
        <w:rPr>
          <w:b/>
          <w:bCs/>
        </w:rPr>
        <w:t xml:space="preserve">Omvang en periode.</w:t>
      </w:r>
      <w:r>
        <w:t xml:space="preserve"> </w:t>
      </w:r>
      <w:r>
        <w:t xml:space="preserve">21.374 NDFF-records, 1974–2025. De 21.161 onvervaagde records zijn samengevat tot 183 combinaties van jaar en kilometerhok. Daarvan hebben 118 hok-jaren minimaal vijftig geregistreerde taxa; 65 kleinere reeksen blijven fragment.</w:t>
      </w:r>
    </w:p>
    <w:p>
      <w:pPr>
        <w:pStyle w:val="BodyText"/>
      </w:pPr>
      <w:r>
        <w:rPr>
          <w:b/>
          <w:bCs/>
        </w:rPr>
        <w:t xml:space="preserve">Wat heeft FLORON bevestigd?</w:t>
      </w:r>
      <w:r>
        <w:t xml:space="preserve"> </w:t>
      </w:r>
      <w:r>
        <w:t xml:space="preserve">Eén jaar in één kilometerhok is de fijnste beschikbare teleenheid. Voor 2011 werden alleen soort, jaar, kilometerhok en waarnemer opgeslagen. FLORON beschikt niet over de eerder gevraagde lijst-ID’s, volledigheidsvlaggen, bezoekdata, bezoekduur, checklistversies of expliciete registraties van niet-aangetroffen soorten.</w:t>
      </w:r>
    </w:p>
    <w:p>
      <w:pPr>
        <w:pStyle w:val="BodyText"/>
      </w:pPr>
      <w:r>
        <w:rPr>
          <w:b/>
          <w:bCs/>
        </w:rPr>
        <w:t xml:space="preserve">Wat kan nu?</w:t>
      </w:r>
      <w:r>
        <w:t xml:space="preserve"> </w:t>
      </w:r>
      <w:r>
        <w:t xml:space="preserve">Positieve waarnemingen, floristische samenstelling en veranderingen in geregistreerde verspreiding kunnen per kilometerhok en jaar worden onderzocht. De huidige 81.721 protocolnullen blijven afhankelijk van de lokale regel dat een hok-jaar met minimaal vijftig taxa als aannemelijk volledig geldt. Zij zijn geen door FLORON geleverde nulwaarnemingen en ondersteunen zonder gevoeligheidsanalyse geen definitieve trendclaim. Een nieuw verzoek aan FLORON kan deze leemte niet oplossen.</w:t>
      </w:r>
    </w:p>
    <w:p>
      <w:pPr>
        <w:pStyle w:val="Heading4"/>
      </w:pPr>
      <w:bookmarkStart w:id="32" w:name="_ddc09a389d1414cf9c368e3f96b3cd144167922"/>
      <w:r>
        <w:t xml:space="preserve">1.5.13. LMF-aandachtssoorten</w:t>
      </w:r>
      <w:bookmarkEnd w:id="32"/>
    </w:p>
    <w:p>
      <w:pPr>
        <w:pStyle w:val="FirstParagraph"/>
      </w:pPr>
      <w:r>
        <w:rPr>
          <w:b/>
          <w:bCs/>
        </w:rPr>
        <w:t xml:space="preserve">Omvang en periode.</w:t>
      </w:r>
      <w:r>
        <w:t xml:space="preserve"> </w:t>
      </w:r>
      <w:r>
        <w:t xml:space="preserve">5.980 records, 30 vaste kilometerhokroutes en 124 routejaren, 2000–2025. Het openbare FLORON-rapport bevestigt 79 routejaren uit 1999–2019; 45 routejaren zijn alleen uit NDFF-records afgeleid.</w:t>
      </w:r>
    </w:p>
    <w:p>
      <w:pPr>
        <w:pStyle w:val="BodyText"/>
      </w:pPr>
      <w:r>
        <w:rPr>
          <w:b/>
          <w:bCs/>
        </w:rPr>
        <w:t xml:space="preserve">Wat heeft FLORON bevestigd?</w:t>
      </w:r>
      <w:r>
        <w:t xml:space="preserve"> </w:t>
      </w:r>
      <w:r>
        <w:t xml:space="preserve">Dunea beheert de onderliggende LMF-A-gegevens. FLORON levert alleen de software als dienst aan Dunea.</w:t>
      </w:r>
    </w:p>
    <w:p>
      <w:pPr>
        <w:pStyle w:val="BodyText"/>
      </w:pPr>
      <w:r>
        <w:rPr>
          <w:b/>
          <w:bCs/>
        </w:rPr>
        <w:t xml:space="preserve">Wat kan nu?</w:t>
      </w:r>
      <w:r>
        <w:t xml:space="preserve"> </w:t>
      </w:r>
      <w:r>
        <w:t xml:space="preserve">Binnen de 75 doelsoorten bevat de matrix 1.493 positieve resultaten en 7.807 afgeleide nullen. Van die nullen horen 4.945 bij de 79 in het rapport bevestigde routejaren. De overige 2.862 horen bij de 45 alleen uit NDFF afgeleide routejaren en blijven voorlopig.</w:t>
      </w:r>
    </w:p>
    <w:p>
      <w:pPr>
        <w:pStyle w:val="BodyText"/>
      </w:pPr>
      <w:r>
        <w:rPr>
          <w:b/>
          <w:bCs/>
        </w:rPr>
        <w:t xml:space="preserve">Wat ontbreekt voor zelfstandige trends?</w:t>
      </w:r>
      <w:r>
        <w:t xml:space="preserve"> </w:t>
      </w:r>
      <w:r>
        <w:t xml:space="preserve">Voor de 45 niet in het rapport bevestigde routejaren ontbreken nog de primaire Dunea-export, routeversies en eventuele methodewijzigingen. Op 7 oktober 2026 zijn de lokale reposities, documenten, iCloud-downloads en Zotero hierop gericht doorzocht. Er is geen primaire Dunea-export gevonden; alleen het officiële rapport en algemene methodedocumenten zijn lokaal aanwezig. De lokale zoekroute is daarmee afgerond. Wanneer deze validatie prioriteit krijgt, is de kortste vervolgstap een rechtstreeks verzoek aan Dunea om een bestaande volledige LMF-A-export.</w:t>
      </w:r>
    </w:p>
    <w:p>
      <w:pPr>
        <w:pStyle w:val="BodyText"/>
      </w:pPr>
      <w:r>
        <w:rPr>
          <w:b/>
          <w:bCs/>
        </w:rPr>
        <w:t xml:space="preserve">Opslag, 8 oktober 2026.</w:t>
      </w:r>
      <w:r>
        <w:t xml:space="preserve"> </w:t>
      </w:r>
      <w:r>
        <w:t xml:space="preserve">De veertien afgeleide tabellen van Het Nieuwe Strepen, FLORBASE en LMF-A heten nu respectievelijk</w:t>
      </w:r>
      <w:r>
        <w:t xml:space="preserve"> </w:t>
      </w:r>
      <w:r>
        <w:rPr>
          <w:rStyle w:val="VerbatimChar"/>
        </w:rPr>
        <w:t xml:space="preserve">hns_*</w:t>
      </w:r>
      <w:r>
        <w:t xml:space="preserve">,</w:t>
      </w:r>
      <w:r>
        <w:t xml:space="preserve"> </w:t>
      </w:r>
      <w:r>
        <w:rPr>
          <w:rStyle w:val="VerbatimChar"/>
        </w:rPr>
        <w:t xml:space="preserve">florbase_*</w:t>
      </w:r>
      <w:r>
        <w:t xml:space="preserve"> </w:t>
      </w:r>
      <w:r>
        <w:t xml:space="preserve">en</w:t>
      </w:r>
      <w:r>
        <w:t xml:space="preserve"> </w:t>
      </w:r>
      <w:r>
        <w:rPr>
          <w:rStyle w:val="VerbatimChar"/>
        </w:rPr>
        <w:t xml:space="preserve">lmfa_*</w:t>
      </w:r>
      <w:r>
        <w:t xml:space="preserve"> </w:t>
      </w:r>
      <w:r>
        <w:t xml:space="preserve">in de lokale analytische database en op de VPS. De oorspronkelijke NDFF-waarnemingen, bronvermelding en reconstructieversies blijven behouden. Alle tabelcontrolesommen zijn na de hernoeming gelijk aan de nulmeting en alle 18 foreign keys bleven intact; de centrale taxoncontrole geeft 128 werkende routes en nul fouten. De volledige SQL-export, Shiny-cache en website-uitvoer zijn op 8 oktober 2026 gepubliceerd als Meijendel-productiecommit</w:t>
      </w:r>
      <w:r>
        <w:t xml:space="preserve"> </w:t>
      </w:r>
      <w:r>
        <w:rPr>
          <w:rStyle w:val="VerbatimChar"/>
        </w:rPr>
        <w:t xml:space="preserve">6dbc679887074501f0505ca784e4e494aecd5e3d</w:t>
      </w:r>
      <w:r>
        <w:t xml:space="preserve">. De releasehelper verwijderde uitsluitend de veertien oude</w:t>
      </w:r>
      <w:r>
        <w:t xml:space="preserve"> </w:t>
      </w:r>
      <w:r>
        <w:rPr>
          <w:rStyle w:val="VerbatimChar"/>
        </w:rPr>
        <w:t xml:space="preserve">ndff_hns_*</w:t>
      </w:r>
      <w:r>
        <w:t xml:space="preserve">-,</w:t>
      </w:r>
      <w:r>
        <w:t xml:space="preserve"> </w:t>
      </w:r>
      <w:r>
        <w:rPr>
          <w:rStyle w:val="VerbatimChar"/>
        </w:rPr>
        <w:t xml:space="preserve">ndff_florbase_*</w:t>
      </w:r>
      <w:r>
        <w:t xml:space="preserve">- en</w:t>
      </w:r>
      <w:r>
        <w:t xml:space="preserve"> </w:t>
      </w:r>
      <w:r>
        <w:rPr>
          <w:rStyle w:val="VerbatimChar"/>
        </w:rPr>
        <w:t xml:space="preserve">ndff_lmfa_*</w:t>
      </w:r>
      <w:r>
        <w:t xml:space="preserve">-tabelnamen. Het productieschema, de cachemodus</w:t>
      </w:r>
      <w:r>
        <w:t xml:space="preserve"> </w:t>
      </w:r>
      <w:r>
        <w:rPr>
          <w:rStyle w:val="VerbatimChar"/>
        </w:rPr>
        <w:t xml:space="preserve">SQL_CACHE=TRUE</w:t>
      </w:r>
      <w:r>
        <w:t xml:space="preserve"> </w:t>
      </w:r>
      <w:r>
        <w:t xml:space="preserve">en de publieke rookproeven zijn daarna geslaagd.</w:t>
      </w:r>
    </w:p>
    <w:p>
      <w:pPr>
        <w:pStyle w:val="Heading4"/>
      </w:pPr>
      <w:bookmarkStart w:id="33" w:name="_54b0c9881ebf1c9c32ceb4f54ebc7dcb81d8783"/>
      <w:r>
        <w:t xml:space="preserve">1.5.14. Mossen en korstmossen</w:t>
      </w:r>
      <w:bookmarkEnd w:id="33"/>
    </w:p>
    <w:p>
      <w:pPr>
        <w:pStyle w:val="FirstParagraph"/>
      </w:pPr>
      <w:r>
        <w:rPr>
          <w:b/>
          <w:bCs/>
        </w:rPr>
        <w:t xml:space="preserve">Omvang en periode.</w:t>
      </w:r>
      <w:r>
        <w:t xml:space="preserve"> </w:t>
      </w:r>
      <w:r>
        <w:t xml:space="preserve">De NDFF-levering bevat 384 korstmossenregels onder meetnetprotocol 02.202 uit 2000–2025 en 377 mossenregels onder protocol 02.204 uit 2000–2011.</w:t>
      </w:r>
    </w:p>
    <w:p>
      <w:pPr>
        <w:pStyle w:val="BodyText"/>
      </w:pPr>
      <w:r>
        <w:rPr>
          <w:b/>
          <w:bCs/>
        </w:rPr>
        <w:t xml:space="preserve">Nieuwe primaire bron, 8 oktober 2026.</w:t>
      </w:r>
      <w:r>
        <w:t xml:space="preserve"> </w:t>
      </w:r>
      <w:r>
        <w:t xml:space="preserve">BLWG leverde voor korstmossen zes plots, 32 afzonderlijke telformulieren met waarnemer en lijstcode, en 292 positieve soortregels. Vier vaste plots zijn onderzocht in de veldjaren 2000, 2006, 2011, 2015, 2020 en 2025; twee andere plots zijn alleen in 2021 onderzocht. De levering bevat plotbegrenzingen en de oorspronkelijke kolom</w:t>
      </w:r>
      <w:r>
        <w:t xml:space="preserve"> </w:t>
      </w:r>
      <w:r>
        <w:rPr>
          <w:rStyle w:val="VerbatimChar"/>
        </w:rPr>
        <w:t xml:space="preserve">Kwantiteit</w:t>
      </w:r>
      <w:r>
        <w:t xml:space="preserve">, met vijf van de zes mogelijke klassen in deze selectie. Het rapportagejaar loopt meestal één jaar achter op de feitelijke velddatum; analyses gebruiken de velddatum.</w:t>
      </w:r>
    </w:p>
    <w:p>
      <w:pPr>
        <w:pStyle w:val="BodyText"/>
      </w:pPr>
      <w:r>
        <w:rPr>
          <w:b/>
          <w:bCs/>
        </w:rPr>
        <w:t xml:space="preserve">Vergelijking met NDFF.</w:t>
      </w:r>
      <w:r>
        <w:t xml:space="preserve"> </w:t>
      </w:r>
      <w:r>
        <w:t xml:space="preserve">De 32 BLWG-formulieren zijn niet dezelfde 32 eenheden als de eerder uit NDFF gereconstrueerde plot-datumbezoeken: BLWG onderscheidt bijvoorbeeld de twee tellers in 2015 en 2021. Van de 292 BLWG-soortregels matchen 269 rechtstreeks op plot, velddatum en soortnaam met onvervaagde NDFF-regels; 20 betreffen de openbaar vervaagde</w:t>
      </w:r>
      <w:r>
        <w:t xml:space="preserve"> </w:t>
      </w:r>
      <w:r>
        <w:rPr>
          <w:i/>
          <w:iCs/>
        </w:rPr>
        <w:t xml:space="preserve">Usnea articulata</w:t>
      </w:r>
      <w:r>
        <w:t xml:space="preserve"> </w:t>
      </w:r>
      <w:r>
        <w:t xml:space="preserve">en drie verschillen alleen in de gebruikte wetenschappelijke naam. Die twintig regels en de precieze plotlocatie mogen niet in openbare afgeleide tabellen terechtkomen. De bron is ontvangen maar nog niet geïmporteerd.</w:t>
      </w:r>
    </w:p>
    <w:p>
      <w:pPr>
        <w:pStyle w:val="BodyText"/>
      </w:pPr>
      <w:r>
        <w:rPr>
          <w:b/>
          <w:bCs/>
        </w:rPr>
        <w:t xml:space="preserve">Wat kan nu?</w:t>
      </w:r>
      <w:r>
        <w:t xml:space="preserve"> </w:t>
      </w:r>
      <w:r>
        <w:t xml:space="preserve">De vier vaste korstmossenplots vormen dankzij de primaire plot-, bezoek- en soortenlijsten een veel betere kandidaat voor lokale analyse van aanwezigheid en ordinale bedekking over zes meetronden. Dit is nog geen gebiedsbrede populatietrend of bewijs voor een beheereffect. De twee plots uit 2021 bieden alleen een momentopname. Het mossendeel blijft bruikbaar als zeven kilometerhokinventarisaties, niet als zelfstandige lokale tijdreeks.</w:t>
      </w:r>
    </w:p>
    <w:p>
      <w:pPr>
        <w:pStyle w:val="BodyText"/>
      </w:pPr>
      <w:r>
        <w:rPr>
          <w:b/>
          <w:bCs/>
        </w:rPr>
        <w:t xml:space="preserve">Wat ontbreekt nog?</w:t>
      </w:r>
      <w:r>
        <w:t xml:space="preserve"> </w:t>
      </w:r>
      <w:r>
        <w:t xml:space="preserve">De NDFF-selectie 02.202 bevat daarnaast 92 regels van zes andere BLWG-locaties: twee locaties met een bezoek op 15 februari 2015 en vier met een bezoek op 31 maart 2018. Zij staan niet in de ontvangen BLWG-export. Eerst moet duidelijk zijn of ook voor deze zes locaties de oorspronkelijke plot- en bezoekgegevens beschikbaar zijn; de bestaande NDFF-reconstructie blijft daarvoor voorlopig. Voor protocol 02.204 meldde BLWG dat het om kilometerhokinventarisaties gaat en dat, voor zover bekend, geen afzonderlijke kopgegevens worden bijgehouden. Er is daarvoor nu geen aanvullende levering te verwachten.</w:t>
      </w:r>
    </w:p>
    <w:p>
      <w:pPr>
        <w:pStyle w:val="Heading4"/>
      </w:pPr>
      <w:bookmarkStart w:id="34" w:name="_1bea655362975aef3d944c226fffca3cc18312c"/>
      <w:r>
        <w:t xml:space="preserve">1.5.15. Bos- en zeereeppaddenstoelen</w:t>
      </w:r>
      <w:bookmarkEnd w:id="34"/>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p>
      <w:pPr>
        <w:pStyle w:val="Heading4"/>
      </w:pPr>
      <w:bookmarkStart w:id="35" w:name="_weekdieren"/>
      <w:r>
        <w:t xml:space="preserve">1.5.16. Weekdieren</w:t>
      </w:r>
      <w:bookmarkEnd w:id="35"/>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p>
      <w:pPr>
        <w:pStyle w:val="Heading4"/>
      </w:pPr>
      <w:bookmarkStart w:id="36" w:name="_1879253ee2dfd52031c9d63749e2737783da88e"/>
      <w:r>
        <w:t xml:space="preserve">1.5.17. SNL-gebiedsmonitoring</w:t>
      </w:r>
      <w:bookmarkEnd w:id="36"/>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p>
      <w:pPr>
        <w:pStyle w:val="Heading3"/>
      </w:pPr>
      <w:bookmarkStart w:id="37" w:name="_3dde7cd9c0fbcfd44f499ab6a6ef5cfd62b0862"/>
      <w:r>
        <w:t xml:space="preserve">1.6. Openbare externe ecologiebronnen</w:t>
      </w:r>
      <w:bookmarkEnd w:id="37"/>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8">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p>
      <w:pPr>
        <w:pStyle w:val="BodyText"/>
      </w:pPr>
      <w:r>
        <w:rPr>
          <w:b/>
          <w:bCs/>
        </w:rPr>
        <w:t xml:space="preserve">Bronopslag na de gerichte ontvlechting van 29 september 2026.</w:t>
      </w:r>
      <w:r>
        <w:t xml:space="preserve"> </w:t>
      </w:r>
      <w:r>
        <w:t xml:space="preserve">De vijf niet-LVD-bronnen staan ieder onder een herkenbare bronnaam:</w:t>
      </w:r>
      <w:r>
        <w:t xml:space="preserve"> </w:t>
      </w:r>
      <w:r>
        <w:rPr>
          <w:rStyle w:val="VerbatimChar"/>
        </w:rPr>
        <w:t xml:space="preserve">endure_*</w:t>
      </w:r>
      <w:r>
        <w:t xml:space="preserve">,</w:t>
      </w:r>
      <w:r>
        <w:t xml:space="preserve"> </w:t>
      </w:r>
      <w:r>
        <w:rPr>
          <w:rStyle w:val="VerbatimChar"/>
        </w:rPr>
        <w:t xml:space="preserve">stowa_limnodata_*</w:t>
      </w:r>
      <w:r>
        <w:t xml:space="preserve">,</w:t>
      </w:r>
      <w:r>
        <w:t xml:space="preserve"> </w:t>
      </w:r>
      <w:r>
        <w:rPr>
          <w:rStyle w:val="VerbatimChar"/>
        </w:rPr>
        <w:t xml:space="preserve">naturalis_botany_*</w:t>
      </w:r>
      <w:r>
        <w:t xml:space="preserve">,</w:t>
      </w:r>
      <w:r>
        <w:t xml:space="preserve"> </w:t>
      </w:r>
      <w:r>
        <w:rPr>
          <w:rStyle w:val="VerbatimChar"/>
        </w:rPr>
        <w:t xml:space="preserve">naturalis_coleoptera_*</w:t>
      </w:r>
      <w:r>
        <w:t xml:space="preserve"> </w:t>
      </w:r>
      <w:r>
        <w:t xml:space="preserve">en</w:t>
      </w:r>
      <w:r>
        <w:t xml:space="preserve"> </w:t>
      </w:r>
      <w:r>
        <w:rPr>
          <w:rStyle w:val="VerbatimChar"/>
        </w:rPr>
        <w:t xml:space="preserve">nmr_vlinders_*</w:t>
      </w:r>
      <w:r>
        <w:t xml:space="preserve">. Iedere familie heeft een dataset-, event-, resultaat- en overlaptabel. Samen gaat het om vijf datasets, 7.557 events, 17.606 resultaten en 5.942 overlapbeoordelingen uit 1875–2025; dit zijn bronregels en geen opgetelde unieke waarnemingen. Hun oorspronkelijke IDs, bronversies, bronmetadata, expliciete afwezigheden, eenheden, analysebeperkingen en mogelijke overlappen blijven behouden. Bronresultaten blijven via</w:t>
      </w:r>
      <w:r>
        <w:t xml:space="preserve"> </w:t>
      </w:r>
      <w:r>
        <w:rPr>
          <w:rStyle w:val="VerbatimChar"/>
        </w:rPr>
        <w:t xml:space="preserve">taxa_bronkoppeling</w:t>
      </w:r>
      <w:r>
        <w:t xml:space="preserve"> </w:t>
      </w:r>
      <w:r>
        <w:t xml:space="preserve">vanuit</w:t>
      </w:r>
      <w:r>
        <w:t xml:space="preserve"> </w:t>
      </w:r>
      <w:r>
        <w:rPr>
          <w:rStyle w:val="VerbatimChar"/>
        </w:rPr>
        <w:t xml:space="preserve">taxa</w:t>
      </w:r>
      <w:r>
        <w:t xml:space="preserve"> </w:t>
      </w:r>
      <w:r>
        <w:t xml:space="preserve">en met</w:t>
      </w:r>
      <w:r>
        <w:t xml:space="preserve"> </w:t>
      </w:r>
      <w:r>
        <w:rPr>
          <w:rStyle w:val="VerbatimChar"/>
        </w:rPr>
        <w:t xml:space="preserve">taxon_groepen</w:t>
      </w:r>
      <w:r>
        <w:t xml:space="preserve"> </w:t>
      </w:r>
      <w:r>
        <w:t xml:space="preserve">als indeling bereikbaar. De bestaande analyse-ingang levert dezelfde uitkomsten. De overige 2.793 LVD-opnamen met 64.683 resultaten uit 1959–2015 staan onder</w:t>
      </w:r>
      <w:r>
        <w:t xml:space="preserve"> </w:t>
      </w:r>
      <w:r>
        <w:rPr>
          <w:rStyle w:val="VerbatimChar"/>
        </w:rPr>
        <w:t xml:space="preserve">lvd_*</w:t>
      </w:r>
      <w:r>
        <w:t xml:space="preserve">; de 644 eerder onder</w:t>
      </w:r>
      <w:r>
        <w:t xml:space="preserve"> </w:t>
      </w:r>
      <w:r>
        <w:rPr>
          <w:rStyle w:val="VerbatimChar"/>
        </w:rPr>
        <w:t xml:space="preserve">pq_*</w:t>
      </w:r>
      <w:r>
        <w:t xml:space="preserve"> </w:t>
      </w:r>
      <w:r>
        <w:t xml:space="preserve">gebrachte LVD-opnamen met 16.627 resultaten uit 1981–2015 blijven daar. Dit is geen oordeel dat alle LVD-opnamen permanente kwadraten zijn. Er is niets naar de VPS gepubliceerd. De volledige brontabelkaart, controles en herstelafbakening staan in</w:t>
      </w:r>
      <w:r>
        <w:t xml:space="preserve"> </w:t>
      </w:r>
      <w:hyperlink r:id="rId39">
        <w:r>
          <w:rPr>
            <w:rStyle w:val="Hyperlink"/>
          </w:rPr>
          <w:t xml:space="preserve">het taxonregister</w:t>
        </w:r>
      </w:hyperlink>
      <w:r>
        <w:t xml:space="preserve">.</w:t>
      </w:r>
    </w:p>
    <w:p>
      <w:pPr>
        <w:pStyle w:val="Heading4"/>
      </w:pPr>
      <w:bookmarkStart w:id="40" w:name="_9c98e6e0799dea8eed6786abf4e9090b0506343"/>
      <w:r>
        <w:t xml:space="preserve">1.6.1. STOWA Limnodata</w:t>
      </w:r>
      <w:bookmarkEnd w:id="40"/>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p>
      <w:pPr>
        <w:pStyle w:val="Heading4"/>
      </w:pPr>
      <w:bookmarkStart w:id="41" w:name="_7810a275271da51e128daf1eadaca77f875310a"/>
      <w:r>
        <w:t xml:space="preserve">1.6.2. ENDURE helmduinfauna</w:t>
      </w:r>
      <w:bookmarkEnd w:id="41"/>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p>
      <w:pPr>
        <w:pStyle w:val="Heading4"/>
      </w:pPr>
      <w:bookmarkStart w:id="42" w:name="_5a504ff8abd850ffc7704ce23c8f7bb19f98000"/>
      <w:r>
        <w:t xml:space="preserve">1.6.3. Landelijke Vegetatie Databank</w:t>
      </w:r>
      <w:bookmarkEnd w:id="42"/>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bCs/>
        </w:rPr>
        <w:t xml:space="preserve">PQ-broncontrole, 27 september 2026.</w:t>
      </w:r>
      <w:r>
        <w:t xml:space="preserve"> </w:t>
      </w:r>
      <w:r>
        <w:t xml:space="preserve">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w:t>
      </w:r>
      <w:r>
        <w:t xml:space="preserve"> </w:t>
      </w:r>
      <w:r>
        <w:rPr>
          <w:rStyle w:val="VerbatimChar"/>
        </w:rPr>
        <w:t xml:space="preserve">gis/scripts/run_external_ecology_overlap_audit.py --pq-inventarisatie</w:t>
      </w:r>
      <w:r>
        <w:t xml:space="preserve">. Uitvoeringsbewijs en gecontroleerde herstelback-up staan lokaal onder</w:t>
      </w:r>
      <w:r>
        <w:t xml:space="preserve"> </w:t>
      </w:r>
      <w:r>
        <w:rPr>
          <w:rStyle w:val="VerbatimChar"/>
        </w:rPr>
        <w:t xml:space="preserve">outputs/pq-integratie</w:t>
      </w:r>
      <w:r>
        <w:t xml:space="preserve">.</w:t>
      </w:r>
    </w:p>
    <w:p>
      <w:pPr/>
      <w:r>
        <w:t>Hercontrole op 17 oktober 2026 bevestigt voor de LVD-levering uit 1959–2015 dezelfde 3.437 toegelaten opnamen met 81.310 resultaten en dezelfde 654 mogelijke provinciale opnameparen. De resterende LVD-laag bevat 2.793 opnamen met 64.683 resultaten; ook de geneste opnamekenmerken bevatten geen vaste PQ- of bovenliggende locatie-identificatie. De twee niet-verplaatste nabijheidskandidaten blijven zonder bewijs van gedeelde PQ-identiteit: LVD-event 40650 uit 2011 heeft één resultaat tegenover 26 in provinciale opname 1915; LVD-event 43406 uit 2013 en provinciale opname 1026 hebben elk één resultaat, maar verschillende taxonnamen of bedekkingscodes. Geen van beide paren heeft een gelijke volledige lijst. De 644 eerder verplaatste LVD-opnamen uit 1981–2015 behouden hun 652 vermoedelijke koppelingen en tellen niet zelfstandig mee. Deze hercontrole onderbouwt geen aanvullende PQ-verplaatsing; er zijn geen bronregels of koppelstatussen gewijzigd.</w:t>
      </w:r>
    </w:p>
    <w:p>
      <w:pPr>
        <w:pStyle w:val="BodyText"/>
      </w:pPr>
      <w:r>
        <w:rPr>
          <w:b/>
          <w:bCs/>
        </w:rPr>
        <w:t xml:space="preserve">Taxonomische importbeperking, vastgesteld 27 september 2026.</w:t>
      </w:r>
      <w:r>
        <w:t xml:space="preserve"> </w:t>
      </w:r>
      <w:r>
        <w:t xml:space="preserve">De oorspronkelijke import gebruikte bij alle 81.310 toegelaten LVD-resultaten (1959–2015; 998 verschillende naamstrings) een status als taxonrang: 81.285 keer</w:t>
      </w:r>
      <w:r>
        <w:t xml:space="preserve"> </w:t>
      </w:r>
      <w:r>
        <w:rPr>
          <w:rStyle w:val="VerbatimChar"/>
        </w:rPr>
        <w:t xml:space="preserve">accepted</w:t>
      </w:r>
      <w:r>
        <w:t xml:space="preserve"> </w:t>
      </w:r>
      <w:r>
        <w:t xml:space="preserve">en 25 keer</w:t>
      </w:r>
      <w:r>
        <w:t xml:space="preserve"> </w:t>
      </w:r>
      <w:r>
        <w:rPr>
          <w:rStyle w:val="VerbatimChar"/>
        </w:rPr>
        <w:t xml:space="preserve">synonym</w:t>
      </w:r>
      <w:r>
        <w:t xml:space="preserve">. De oorspronkelijke status blijft ook in de bronmetadata bewaard. Bij de 16.627 verplaatste resultaten heet dit veld nu</w:t>
      </w:r>
      <w:r>
        <w:t xml:space="preserve"> </w:t>
      </w:r>
      <w:r>
        <w:rPr>
          <w:rStyle w:val="VerbatimChar"/>
        </w:rPr>
        <w:t xml:space="preserve">taxonomische_status_aangeleverd</w:t>
      </w:r>
      <w:r>
        <w:t xml:space="preserve">;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w:t>
      </w:r>
      <w:r>
        <w:t xml:space="preserve"> </w:t>
      </w:r>
      <w:r>
        <w:rPr>
          <w:rStyle w:val="VerbatimChar"/>
        </w:rPr>
        <w:t xml:space="preserve">docs/database/TAXONREGISTER.md</w:t>
      </w:r>
      <w:r>
        <w:t xml:space="preserve"> </w:t>
      </w:r>
      <w:r>
        <w:t xml:space="preserve">voor model, controles en herstelwijze.</w:t>
      </w:r>
    </w:p>
    <w:p>
      <w:pPr>
        <w:pStyle w:val="BodyText"/>
      </w:pPr>
      <w:r>
        <w:rPr>
          <w:b/>
          <w:bCs/>
        </w:rPr>
        <w:t xml:space="preserve">Aanvullende taxonomische metadata, beoordeeld 27 september 2026.</w:t>
      </w:r>
      <w:r>
        <w:t xml:space="preserve"> </w:t>
      </w:r>
      <w:r>
        <w:t xml:space="preserve">In de extractie van 998 LVD-naamgebruiken uit de bronreeks 1959–2015 is bij 122 het veld</w:t>
      </w:r>
      <w:r>
        <w:t xml:space="preserve"> </w:t>
      </w:r>
      <w:r>
        <w:rPr>
          <w:rStyle w:val="VerbatimChar"/>
        </w:rPr>
        <w:t xml:space="preserve">scientificNameAuthorship</w:t>
      </w:r>
      <w:r>
        <w:t xml:space="preserve"> </w:t>
      </w:r>
      <w:r>
        <w:t xml:space="preserve">gelijk aan de volledige</w:t>
      </w:r>
      <w:r>
        <w:t xml:space="preserve"> </w:t>
      </w:r>
      <w:r>
        <w:rPr>
          <w:rStyle w:val="VerbatimChar"/>
        </w:rPr>
        <w:t xml:space="preserve">scientificName</w:t>
      </w:r>
      <w:r>
        <w:t xml:space="preserve">. Manifest v3 heeft deze tekst niet als auteur overgenomen: het centrale veld</w:t>
      </w:r>
      <w:r>
        <w:t xml:space="preserve"> </w:t>
      </w:r>
      <w:r>
        <w:rPr>
          <w:rStyle w:val="VerbatimChar"/>
        </w:rPr>
        <w:t xml:space="preserve">naam_auteur</w:t>
      </w:r>
      <w:r>
        <w:t xml:space="preserve"> </w:t>
      </w:r>
      <w:r>
        <w:t xml:space="preserve">bleef bij die invoer voor deze 122 naamgebruiken leeg. Bij de centralisatie zijn afzonderlijk onderbouwde auteursnamen aangevuld; de oorspronkelijke lege waarde blijft in de broncontext bewaard. De letterlijke bronmetadata zijn in</w:t>
      </w:r>
      <w:r>
        <w:t xml:space="preserve"> </w:t>
      </w:r>
      <w:r>
        <w:rPr>
          <w:rStyle w:val="VerbatimChar"/>
        </w:rPr>
        <w:t xml:space="preserve">taxa_bronkoppeling</w:t>
      </w:r>
      <w:r>
        <w:t xml:space="preserve"> </w:t>
      </w:r>
      <w:r>
        <w:t xml:space="preserve">behouden. Dit betreft 122 naamgebruiken, niet 122 waarnemingen. De toevoeging aan het register verandert geen meetwaarden, ruimtelijke toelating, overlapbesluiten of bestaande bronvelden.</w:t>
      </w:r>
    </w:p>
    <w:p>
      <w:pPr>
        <w:pStyle w:val="Heading4"/>
      </w:pPr>
      <w:bookmarkStart w:id="43" w:name="_a4b8938f650cad67af8384aa358648ef6881db5"/>
      <w:r>
        <w:t xml:space="preserve">1.6.4. Historische vlinder- en motcollectie</w:t>
      </w:r>
      <w:bookmarkEnd w:id="43"/>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p>
      <w:pPr>
        <w:pStyle w:val="Heading4"/>
      </w:pPr>
      <w:bookmarkStart w:id="44" w:name="_b06cb21dbe9ca56883ae8ed5d3f986798494e94"/>
      <w:r>
        <w:t xml:space="preserve">1.6.5. Naturalis Botany</w:t>
      </w:r>
      <w:bookmarkEnd w:id="44"/>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p>
      <w:pPr>
        <w:pStyle w:val="Heading4"/>
      </w:pPr>
      <w:bookmarkStart w:id="45" w:name="_335dc587b878851a017369d1c1c7e74fa2018ad"/>
      <w:r>
        <w:t xml:space="preserve">1.6.6. Naturalis Coleoptera</w:t>
      </w:r>
      <w:bookmarkEnd w:id="45"/>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p>
      <w:pPr>
        <w:pStyle w:val="Heading3"/>
      </w:pPr>
      <w:bookmarkStart w:id="46" w:name="_5d611a31ac68a696fd179c2c85c282500afefc7"/>
      <w:r>
        <w:t xml:space="preserve">1.7. Openstaande ruimtelijke toelatingscontrole</w:t>
      </w:r>
      <w:bookmarkEnd w:id="46"/>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p>
      <w:pPr>
        <w:pStyle w:val="Heading3"/>
      </w:pPr>
      <w:bookmarkStart w:id="47" w:name="_6e396c95ed446dc595f32661c45d91742a47fe5"/>
      <w:r>
        <w:t xml:space="preserve">1.8. Verklarende omgevingslagen</w:t>
      </w:r>
      <w:bookmarkEnd w:id="47"/>
    </w:p>
    <w:p>
      <w:pPr>
        <w:pStyle w:val="FirstParagraph"/>
      </w:pPr>
      <w:r>
        <w:t xml:space="preserve">Deze gegevens zijn geen soortenwaarnemingen. Zij kunnen wel helpen om ecologische veranderingen te beschrijven of als mogelijke verklaring te toetsen.</w:t>
      </w:r>
    </w:p>
    <w:p>
      <w:pPr>
        <w:pStyle w:val="Heading4"/>
      </w:pPr>
      <w:bookmarkStart w:id="48" w:name="_bb0c62bd471c774923f07d8b7b6f705ce2e805a"/>
      <w:r>
        <w:t xml:space="preserve">1.8.1. Dagelijks weer</w:t>
      </w:r>
      <w:bookmarkEnd w:id="48"/>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p>
      <w:pPr>
        <w:pStyle w:val="Heading4"/>
      </w:pPr>
      <w:bookmarkStart w:id="49" w:name="_hoogte"/>
      <w:r>
        <w:t xml:space="preserve">1.8.2. Hoogte</w:t>
      </w:r>
      <w:bookmarkEnd w:id="49"/>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p>
      <w:pPr>
        <w:pStyle w:val="Heading4"/>
      </w:pPr>
      <w:bookmarkStart w:id="50" w:name="_stikstofdepositie"/>
      <w:r>
        <w:t xml:space="preserve">1.8.3. Stikstofdepositie</w:t>
      </w:r>
      <w:bookmarkEnd w:id="50"/>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p>
      <w:pPr>
        <w:pStyle w:val="Heading4"/>
      </w:pPr>
      <w:bookmarkStart w:id="51" w:name="_bodemgebruik"/>
      <w:r>
        <w:t xml:space="preserve">1.8.4. Bodemgebruik</w:t>
      </w:r>
      <w:bookmarkEnd w:id="51"/>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p>
      <w:pPr>
        <w:pStyle w:val="Heading4"/>
      </w:pPr>
      <w:bookmarkStart w:id="52" w:name="_6205564c333359604d547302ef9994dbae8e150"/>
      <w:r>
        <w:t xml:space="preserve">1.8.5. Natura 2000-habitat</w:t>
      </w:r>
      <w:bookmarkEnd w:id="52"/>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p>
      <w:pPr>
        <w:pStyle w:val="Heading3"/>
      </w:pPr>
      <w:bookmarkStart w:id="53" w:name="_55651eaef6a7220015a2870e55a9e8e9e62256a"/>
      <w:r>
        <w:t xml:space="preserve">1.9. Werkzaamheden en beheermaatregelen</w:t>
      </w:r>
      <w:bookmarkEnd w:id="53"/>
    </w:p>
    <w:p>
      <w:pPr>
        <w:pStyle w:val="FirstParagraph"/>
      </w:pPr>
      <w:r>
        <w:t xml:space="preserve">Deze laag bevat geen nieuwe soortenwaarnemingen. Zij legt uitvoeringsinformatie vast die later, na een afzonderlijk bewezen ruimtelijke koppeling, als verklarende beheerlaag kan worden gebruikt.</w:t>
      </w:r>
    </w:p>
    <w:p>
      <w:pPr>
        <w:pStyle w:val="BodyText"/>
      </w:pPr>
      <w:r>
        <w:rPr>
          <w:b/>
          <w:bCs/>
        </w:rPr>
        <w:t xml:space="preserve">Broncontrole.</w:t>
      </w:r>
      <w:r>
        <w:t xml:space="preserve"> </w:t>
      </w:r>
      <w:r>
        <w:t xml:space="preserve">Op 14 oktober 2026 zijn alle 807 actieve Zotero-bijlagen in de lokale bibliotheek gecontroleerd. Van 798 bijlagen was tekst beschikbaar via de lokale Zotero-API, de Zotero-tekstcache of het gekoppelde bestand onder</w:t>
      </w:r>
      <w:r>
        <w:t xml:space="preserve"> </w:t>
      </w:r>
      <w:r>
        <w:rPr>
          <w:rStyle w:val="VerbatimChar"/>
        </w:rPr>
        <w:t xml:space="preserve">/Volumes/T7 Data/Zotero</w:t>
      </w:r>
      <w:r>
        <w:t xml:space="preserve">; negen bijlagen hadden geen bruikbare documenttekst. Dat waren vijf oude</w:t>
      </w:r>
      <w:r>
        <w:t xml:space="preserve"> </w:t>
      </w:r>
      <w:r>
        <w:rPr>
          <w:rStyle w:val="VerbatimChar"/>
        </w:rPr>
        <w:t xml:space="preserve">.xls</w:t>
      </w:r>
      <w:r>
        <w:t xml:space="preserve">-protocollen voor vleermuisonderzoek uit 2009–2013 en vier als PDF geregistreerde bestanden die feitelijk HTML-landingspagina’s waren. De vijf protocollen beschrijven onderzoeksformulieren, geen uitgevoerde terreinmaatregelen. De vier landingspagina’s zijn niet als inhoudelijk geraadpleegd document behandeld.</w:t>
      </w:r>
    </w:p>
    <w:p>
      <w:pPr>
        <w:pStyle w:val="BodyText"/>
      </w:pPr>
      <w:r>
        <w:t xml:space="preserve">De brede tekstselectie bevatte 351 bijlagen. De strengere selectie op formuleringen die feitelijke uitvoering aanduiden bevatte 206 bijlagen bij 190 bibliografische bronnen. Na beoordeling op uitvoering, locatie, jaar, dubbeling en brontype zijn achttien aanvullende Zotero-bronnen ingevoerd. Nieuw is Van der Hagen et al. (2020), waarvan figuur 1 Prinsenduin, Lange Strooken en Helmduinen als afzonderlijke onderzoeksgebieden toont. Op 15 oktober 2026 is daarnaast KIWA Mededeling 114 uit december 1990 ingevoerd, met de officiële KWR-PDF als gekoppeld T7-bestand. Figuur 1 op PDF-pagina 73 lokaliseert de infiltratieplassen 27.2, 27.2.1 en 27.3. Op 16 oktober 2026 zijn ook het definitieve beheerplan 2016–2022 en</w:t>
      </w:r>
      <w:r>
        <w:t xml:space="preserve"> </w:t>
      </w:r>
      <w:r>
        <w:rPr>
          <w:i/>
          <w:iCs/>
        </w:rPr>
        <w:t xml:space="preserve">Holland’s Duinen</w:t>
      </w:r>
      <w:r>
        <w:t xml:space="preserve"> </w:t>
      </w:r>
      <w:r>
        <w:t xml:space="preserve">63 en 64 als ruimtelijke bevestiging geregistreerd. Het beheerplan koppelt PIM-oeveraanpassingen aan Tafelberg en ’t Scheepje. De twee tijdschriftnummers beschrijven en tonen het natuurherstel in Elleboogsprang, Helmduinen, Vinkenhoek en Meeuwenduin.</w:t>
      </w:r>
      <w:r>
        <w:t xml:space="preserve"> </w:t>
      </w:r>
      <w:r>
        <w:rPr>
          <w:rStyle w:val="VerbatimChar"/>
        </w:rPr>
        <w:t xml:space="preserve">maatregel_bron</w:t>
      </w:r>
      <w:r>
        <w:t xml:space="preserve"> </w:t>
      </w:r>
      <w:r>
        <w:t xml:space="preserve">bevat nu 28 lokaal geraadpleegde Zotero-bronnen. Dubbele exemplaren, algemene gebiedsbeschrijvingen, uitsluitend voorgenomen werk en niet-lokaliseerbare vermeldingen zijn niet als afzonderlijke uitvoering ingevoerd.</w:t>
      </w:r>
    </w:p>
    <w:p>
      <w:pPr>
        <w:pStyle w:val="BodyText"/>
      </w:pPr>
      <w:r>
        <w:t xml:space="preserve">Daarbij zijn vijftien officiële of institutionele internetbronnen geraadpleegd: vijf Dunea-pagina’s over optimalisatie van de waterwinning, beheer in Meeuwenduin en Prinsenduin, vervanging van slagbomen, actuele werkzaamheden en duindynamiek; het Dunea-jaarverslag 2024; het Zuid-Hollandse subsidie-openstellingsbesluit voor Bendel; de Staatsbosbeheer-pagina over de herinrichting van Bendel; de ODH-beschikking van 28 augustus 2023 voor de konijnenbijplaatsingsproef; de ODH-beschikking van 5 november 2025 voor de renovatie van de Paardenstal; de via DANS gepubliceerde Haagse Archeologische Rapportages 1204 en 1306; de officiële externe bijlage uit 2013 over de PIM-werkzaamheden in Noord-Meijendel; de gemeentelijke inventaris van cultuurhistorische objecten in Wassenaar; en de actuele PDOK-Kadastrale Kaart. Rapport 1204 bevat op PDF-pagina 4 de deelgebiedscontouren van Elleboogsprang, Meeuwenduin en Vinkenhoek. De bronnen staan afzonderlijk in</w:t>
      </w:r>
      <w:r>
        <w:t xml:space="preserve"> </w:t>
      </w:r>
      <w:r>
        <w:rPr>
          <w:rStyle w:val="VerbatimChar"/>
        </w:rPr>
        <w:t xml:space="preserve">maatregel_bron</w:t>
      </w:r>
      <w:r>
        <w:t xml:space="preserve">, met URL of Zotero-itemcode, brondatum, raadpleegdatum en bronstatus.</w:t>
      </w:r>
    </w:p>
    <w:p>
      <w:pPr>
        <w:pStyle w:val="BodyText"/>
      </w:pPr>
      <w:r>
        <w:rPr>
          <w:b/>
          <w:bCs/>
        </w:rPr>
        <w:t xml:space="preserve">Omvang en periode.</w:t>
      </w:r>
      <w:r>
        <w:t xml:space="preserve"> </w:t>
      </w:r>
      <w:r>
        <w:t xml:space="preserve">De levende lokale database bevat 18 projecten, 43 bronnen, 64 uitvoeringen, 104 expliciete jaarbeoordelingen uit 1967–2026 en 99 bronkoppelingen. Van de jaarbeoordelingen zijn er 88</w:t>
      </w:r>
      <w:r>
        <w:t xml:space="preserve"> </w:t>
      </w:r>
      <w:r>
        <w:rPr>
          <w:rStyle w:val="VerbatimChar"/>
        </w:rPr>
        <w:t xml:space="preserve">uitgevoerd</w:t>
      </w:r>
      <w:r>
        <w:t xml:space="preserve">, 9</w:t>
      </w:r>
      <w:r>
        <w:t xml:space="preserve"> </w:t>
      </w:r>
      <w:r>
        <w:rPr>
          <w:rStyle w:val="VerbatimChar"/>
        </w:rPr>
        <w:t xml:space="preserve">niet_uitgevoerd</w:t>
      </w:r>
      <w:r>
        <w:t xml:space="preserve"> </w:t>
      </w:r>
      <w:r>
        <w:t xml:space="preserve">en 7</w:t>
      </w:r>
      <w:r>
        <w:t xml:space="preserve"> </w:t>
      </w:r>
      <w:r>
        <w:rPr>
          <w:rStyle w:val="VerbatimChar"/>
        </w:rPr>
        <w:t xml:space="preserve">onbekend</w:t>
      </w:r>
      <w:r>
        <w:t xml:space="preserve">. De uitvoering in Meeuwenduin en Prinsenduin is gesplitst: 2023 betreft beide naamgebieden; 2024 uitsluitend Prinsenduin. De nieuwe invoer voegt 28 feitelijke uitvoeringen uit 1967–2006 toe. Zij betreft waterwinning en infiltratieplassen, pad- en rasterwerk, zandvastlegging, de rietpotenproef, begrazing, maaien, plaggen en slibverwijdering. De afzonderlijk gelokaliseerde schoning van infiltratieplas 27.2 voegt één uitvoering en twee jaarregels voor 2013 en 2014 toe. De datumvelden van de totale laag lopen van 1967 tot en met een gepland einde in maart 2027. Geplande werkzaamheden bij de Paardenstal en het subsidieerbare Bendel-nabeheer hebben geen uitgevoerd jaar gekregen; elektriciteitswerk in Vallei Meijendel staat als uitvoering onbekend en heeft eveneens geen jaarregel. De afzonderlijke herinrichting van Bendel is voor 2025 en 2026 als uitgevoerd vastgelegd, maar ligt buiten het Meijendel-plotgebied.</w:t>
      </w:r>
    </w:p>
    <w:p>
      <w:pPr>
        <w:pStyle w:val="BodyText"/>
      </w:pPr>
      <w:r>
        <w:rPr>
          <w:b/>
          <w:bCs/>
        </w:rPr>
        <w:t xml:space="preserve">Ruimtelijke kwaliteit.</w:t>
      </w:r>
      <w:r>
        <w:t xml:space="preserve"> </w:t>
      </w:r>
      <w:r>
        <w:t xml:space="preserve">De SOVON-plotlaag versie 2025 bevat 55 actuele kavelpolygonen in RD New; alle 55 zijn aanwezig en geldig. Ton heeft op 13 oktober 2026 alle 55 actuele en 14 historische kavels ingedeeld in vijf Meijendel-deelgebieden of drie speciale gebieden. De</w:t>
      </w:r>
      <w:r>
        <w:t xml:space="preserve"> </w:t>
      </w:r>
      <w:hyperlink r:id="rId54">
        <w:r>
          <w:rPr>
            <w:rStyle w:val="Hyperlink"/>
          </w:rPr>
          <w:t xml:space="preserve">globale overzichtskaart met historische gebiedsnamen</w:t>
        </w:r>
      </w:hyperlink>
      <w:r>
        <w:t xml:space="preserve"> </w:t>
      </w:r>
      <w:r>
        <w:t xml:space="preserve">is als naamcontext gebruikt, maar bevat zelf geen digitale grenzen. De afzonderlijke nameninventaris voegt voor onder meer Meeuwenhoek en De Klip wel actuele TOP10NL-geometrie toe; dat bewijst niet dat hun historische begrenzing identiek was. De 55 actuele plotpolygonen leveren acht topologisch samengevoegde gebiedsgeometrieën op. De 14 historische kavels hebben in deze plotversie geen afzonderlijke geometrie en blijven daarom uitsluitend classificatieregels.</w:t>
      </w:r>
    </w:p>
    <w:p>
      <w:pPr>
        <w:pStyle w:val="BodyText"/>
      </w:pPr>
      <w:r>
        <w:rPr>
          <w:rStyle w:val="VerbatimChar"/>
        </w:rPr>
        <w:t xml:space="preserve">maatregel_geometrie</w:t>
      </w:r>
      <w:r>
        <w:t xml:space="preserve"> </w:t>
      </w:r>
      <w:r>
        <w:t xml:space="preserve">bevat nog nul exacte uitvoeringsgeometrieën.</w:t>
      </w:r>
      <w:r>
        <w:t xml:space="preserve"> </w:t>
      </w:r>
      <w:r>
        <w:rPr>
          <w:rStyle w:val="VerbatimChar"/>
        </w:rPr>
        <w:t xml:space="preserve">maatregel_uitvoering_gebied</w:t>
      </w:r>
      <w:r>
        <w:t xml:space="preserve"> </w:t>
      </w:r>
      <w:r>
        <w:t xml:space="preserve">bevat twee veilige relaties: Voorlinden als locatie binnen het speciale gebied M91 en de in 1990 ingevoerde begrazing voor Kijfhoek en Bierlap als volledig benoemd gebied.</w:t>
      </w:r>
      <w:r>
        <w:t xml:space="preserve"> </w:t>
      </w:r>
      <w:r>
        <w:rPr>
          <w:rStyle w:val="VerbatimChar"/>
        </w:rPr>
        <w:t xml:space="preserve">maatregel_plot_koppeling</w:t>
      </w:r>
      <w:r>
        <w:t xml:space="preserve"> </w:t>
      </w:r>
      <w:r>
        <w:t xml:space="preserve">bevat 211 geverifieerde directe relaties. Daarvan zijn 75 onderbouwd met expliciete kavelvermeldingen, gebruikersvaststellingen, een bijzondere gebiedsnaam of gedigitaliseerde broncontouren uit HAR 1204 en HAR 1306. De nameninventaris voegt 42 geometrische doorsnijdingen toe voor zeven volledig en letterlijk gelokaliseerde uitvoeringen. De tien relaties van het onderzochte zoekgebied van het niet uitgevoerde PAS-maaibeheer 23 blijven M10-12-76, M12a, M62, M63, M64, M65, M72, M73, M74 en M75. De vier jaarregels 2016–2019 blijven</w:t>
      </w:r>
      <w:r>
        <w:t xml:space="preserve"> </w:t>
      </w:r>
      <w:r>
        <w:rPr>
          <w:rStyle w:val="VerbatimChar"/>
        </w:rPr>
        <w:t xml:space="preserve">niet_uitgevoerd</w:t>
      </w:r>
      <w:r>
        <w:t xml:space="preserve">; de koppelingen bewijzen dus geen maaiwerk. Daarnaast zijn elf relaties opgenomen voor de volledige systemen Pan 13 en Plas 20, zeven voor het PIM-leidingwerk, 22 voor de PIM-winputten, twee voor het nabeheer van de kerfzone bij het Parnassiapad, drie voor de aanleg van de vijf kerven, één voor infiltratieplas 27.2, vier voor het bronvast gelokaliseerde deel van de programmabrede pannenmaatregel en acht voor de plagwerkzaamheden van het waterwinningsprogramma. De begrazing van de Helmduinen vanaf eind 1991 is na correctie op 15 oktober 2026 gekoppeld aan M15 en M16. M17a is retroactief verwijderd: die kavel hoort voor deze naamtoedeling bij Prinsenduin, niet bij Helmduinen. De begrazing loopt tot heden door. Omdat de bron geen oppervlakte per kavel geeft, blijft</w:t>
      </w:r>
      <w:r>
        <w:t xml:space="preserve"> </w:t>
      </w:r>
      <w:r>
        <w:rPr>
          <w:rStyle w:val="VerbatimChar"/>
        </w:rPr>
        <w:t xml:space="preserve">doorsnijding_pct</w:t>
      </w:r>
      <w:r>
        <w:t xml:space="preserve"> </w:t>
      </w:r>
      <w:r>
        <w:t xml:space="preserve">voor beide leeg. De begrazing van Vallei Meijendel met 38 heideschapen is gekoppeld aan de negen actuele kavels M3, M4-5, M51, M52, M53, M54a, M54b, M55 en M85. De historische voorgangers M4, M5 en M54 zijn niet gekoppeld, zodat dezelfde ruimte niet dubbel wordt geregistreerd. Omdat de evaluatie geen beginjaar en geen exacte begrazingsvoetafdruk geeft, ontstaan geen plot-jaarrijen en blijven de doorsnijdingspercentages leeg. Maatregel 3c, jaarlijkse begrazing van 110 hectare in Vallei Meijendel, Langestrook en De Loopert, is gekoppeld aan dezelfde negen actuele Vallei-kavels en aan M1a, M1b, M45 en M83. De vijf uitgevoerde jaren 2017–2021 leveren 65 plot-jaarrijen. Zij beschrijven uitsluitend de gezamenlijke uitvoeringsscope, omdat de evaluatie de 110 hectare en het jaarlijkse werk niet over gebieden of kavels verdeelt. Maatregel 3d, jaarlijkse begrazing in Zeereep Meijendel, Helmduinen en Prinsenduin, is op 16 oktober 2026 gekoppeld aan M13s, M15, M16, M17a en M78/79. De bron bevestigt niet-uitvoering in 2020 en uitvoering in 2021 en 2025. Daardoor ontstaan tien plot-jaarrijen; zij beschrijven de gezamenlijke uitvoeringsscope, niet het werk per naamgebied of kavel. De in december 2025 vervangen slagbomen bij de entree van Meijendel zijn gekoppeld aan M55 en M85. Dunea onderscheidt P1 Kievietsduin vóór de slagboom van P2 en P3 in De Vallei erachter; de korte toegangssectie ligt in de lokale OSM-wegenlaag op en over de grens van deze twee kavels. Ton bevestigde de koppeling op 16 oktober 2026. De uitgevoerde jaarregel voor 2025 levert twee plot-jaarrijen; de exacte werkvoetafdruk is niet gepubliceerd. De geometrische naamkoppelingen gebruiken de actuele SOVON-plotgeometrie</w:t>
      </w:r>
      <w:r>
        <w:t xml:space="preserve"> </w:t>
      </w:r>
      <w:r>
        <w:rPr>
          <w:rStyle w:val="VerbatimChar"/>
        </w:rPr>
        <w:t xml:space="preserve">sovon-avimap-2025-download-2026-10-02</w:t>
      </w:r>
      <w:r>
        <w:t xml:space="preserve">. Een doorsnijding bewijst dat het genoemde naamgebied de plot raakt, niet welk percentage van de plot feitelijk is bewerkt;</w:t>
      </w:r>
      <w:r>
        <w:t xml:space="preserve"> </w:t>
      </w:r>
      <w:r>
        <w:rPr>
          <w:rStyle w:val="VerbatimChar"/>
        </w:rPr>
        <w:t xml:space="preserve">doorsnijding_pct</w:t>
      </w:r>
      <w:r>
        <w:t xml:space="preserve"> </w:t>
      </w:r>
      <w:r>
        <w:t xml:space="preserve">blijft daarom leeg. Het nabeheer van de vijf bestaande kerven in 2016 en 2024 is gekoppeld aan M16 en M17a. Het ontwerpbeheerplan bevestigt beide uitvoeringsjaren. Van der Hagen, Ten Napel en Arens (2017) beschrijven de zuidelijke, uitgevoerde kerfzone over 750 meter ten zuiden van de bunker bij het Parnassiapad en melden dat tot het voorjaar van 2017 nog geen nabeheer nodig was. Die publicatie geldt daarom voor deze uitvoering als ruimtelijke plancontext, niet als bewijs van het nabeheer. De aanleg van de vijf kerven in de winters 2013/2014 en 2014/2015 is op 16 oktober 2026 gekoppeld aan M15, M16 en M17a. De bron meldt 109.434 m² ontgraven terrein voor de gezamenlijke uitvoering, maar verdeelt dit oppervlak niet over de drie kavels of de twee uitvoeringsjaren. De zes plot-jaarrijen voor 2014 en 2015 beschrijven daarom uitsluitend de gezamenlijke uitvoeringsscope. Voor aanleg en nabeheer is de exacte werkvoetafdruk per jaar en kavel niet gepubliceerd;</w:t>
      </w:r>
      <w:r>
        <w:t xml:space="preserve"> </w:t>
      </w:r>
      <w:r>
        <w:rPr>
          <w:rStyle w:val="VerbatimChar"/>
        </w:rPr>
        <w:t xml:space="preserve">doorsnijding_pct</w:t>
      </w:r>
      <w:r>
        <w:t xml:space="preserve"> </w:t>
      </w:r>
      <w:r>
        <w:t xml:space="preserve">blijft leeg.</w:t>
      </w:r>
    </w:p>
    <w:p>
      <w:pPr>
        <w:pStyle w:val="BodyText"/>
      </w:pPr>
      <w:r>
        <w:t xml:space="preserve">De grote dunning van het Ganzenhoekbos in 2017 is gekoppeld aan M77 en M78/79. De Natura 2000-evaluatie van 25 april 2025 bevat hiervoor één uitvoeringsregel en één jaarregel. De actuele Ganzenhoek-geometrie raakt ook M13s, maar Ton heeft op 15 oktober 2026 bepaald dat deze dunning niet aan M13s wordt toegeschreven. De exacte werkvoetafdruk binnen M77 en M78/79 is niet bekend;</w:t>
      </w:r>
      <w:r>
        <w:t xml:space="preserve"> </w:t>
      </w:r>
      <w:r>
        <w:rPr>
          <w:rStyle w:val="VerbatimChar"/>
        </w:rPr>
        <w:t xml:space="preserve">doorsnijding_pct</w:t>
      </w:r>
      <w:r>
        <w:t xml:space="preserve"> </w:t>
      </w:r>
      <w:r>
        <w:t xml:space="preserve">blijft daarom leeg.</w:t>
      </w:r>
    </w:p>
    <w:p>
      <w:pPr>
        <w:pStyle w:val="BodyText"/>
      </w:pPr>
      <w:r>
        <w:t xml:space="preserve">Het jaarlijkse aanvullende maaibeheer van in totaal drie hectare in Ruijgenhoek, Langestrook en De Loopert is gekoppeld aan M1a, M1b, M32, M45 en M83. Ton lokaliseerde Ruygenhoek op 15 oktober 2026 in M32. De actuele TOP10NL-geometrie van De Loopert raakt M45 en M83; het naamobject Lange Strook (</w:t>
      </w:r>
      <w:r>
        <w:rPr>
          <w:rStyle w:val="VerbatimChar"/>
        </w:rPr>
        <w:t xml:space="preserve">OBJ-2F95388B74</w:t>
      </w:r>
      <w:r>
        <w:t xml:space="preserve">, geometrie 14) raakt M1a en M1b. Langestrook, Lange Strook en Lange Strooken blijven als bronvarianten herkenbaar. De Natura 2000-evaluatie van 25 april 2025 vermeldt dat jaarlijks is gemaaid en dat Dunea het beheer voortzet, maar geeft geen vaststelbare beginjaren, afzonderlijke uitvoeringsjaren of verdeling van de drie hectare. Daarom blijven de jaarlaag en</w:t>
      </w:r>
      <w:r>
        <w:t xml:space="preserve"> </w:t>
      </w:r>
      <w:r>
        <w:rPr>
          <w:rStyle w:val="VerbatimChar"/>
        </w:rPr>
        <w:t xml:space="preserve">doorsnijding_pct</w:t>
      </w:r>
      <w:r>
        <w:t xml:space="preserve"> </w:t>
      </w:r>
      <w:r>
        <w:t xml:space="preserve">leeg.</w:t>
      </w:r>
    </w:p>
    <w:p>
      <w:pPr>
        <w:pStyle w:val="BodyText"/>
      </w:pPr>
      <w:r>
        <w:t xml:space="preserve">De uitbreiding van het begrazingsgebied met de Kikkervalleien is gekoppeld aan M13, M13s en M14.</w:t>
      </w:r>
      <w:r>
        <w:t xml:space="preserve"> </w:t>
      </w:r>
      <w:r>
        <w:rPr>
          <w:i/>
          <w:iCs/>
        </w:rPr>
        <w:t xml:space="preserve">Holland’s Duinen</w:t>
      </w:r>
      <w:r>
        <w:t xml:space="preserve"> </w:t>
      </w:r>
      <w:r>
        <w:t xml:space="preserve">55 van april 2010 beschrijft op pagina 5 dat direct na de herinrichting in het najaar van 1997 circa 50 hectare Kikkervalleien is toegevoegd aan het sinds 1991 begraasde Helmduinengebied van circa 125 hectare. Pagina 22 benoemt M13, M13s en M14 expliciet als de kavels waarin de Kikkervalleien liggen; samen beslaan de Kikkervalleien ongeveer een derde van deze drie kavels. Ton bevestigde op 14 oktober 2026 zowel deze toedeling als de voortzetting van de begrazing tot heden. De oppervlakte per afzonderlijke kavel is niet gegeven;</w:t>
      </w:r>
      <w:r>
        <w:t xml:space="preserve"> </w:t>
      </w:r>
      <w:r>
        <w:rPr>
          <w:rStyle w:val="VerbatimChar"/>
        </w:rPr>
        <w:t xml:space="preserve">doorsnijding_pct</w:t>
      </w:r>
      <w:r>
        <w:t xml:space="preserve"> </w:t>
      </w:r>
      <w:r>
        <w:t xml:space="preserve">blijft daarom leeg.</w:t>
      </w:r>
    </w:p>
    <w:p>
      <w:pPr>
        <w:pStyle w:val="BodyText"/>
      </w:pPr>
      <w:r>
        <w:t xml:space="preserve">De verwijdering van vegetatie en voedselrijke bovengrond in de Kikkervalleien in het najaar van 1997 is eveneens gekoppeld aan M13, M13s en M14.</w:t>
      </w:r>
      <w:r>
        <w:t xml:space="preserve"> </w:t>
      </w:r>
      <w:r>
        <w:rPr>
          <w:i/>
          <w:iCs/>
        </w:rPr>
        <w:t xml:space="preserve">Holland’s Duinen</w:t>
      </w:r>
      <w:r>
        <w:t xml:space="preserve"> </w:t>
      </w:r>
      <w:r>
        <w:t xml:space="preserve">55 beschrijft op pagina 5 de ingreep in en rond Pan 26.1; pagina 22 noemt de drie kavels en toont het bewerkte gebied met een zwarte begrenzing. Het totale werkgebied bedroeg circa 50 hectare. De bron verdeelt die oppervlakte niet over de kavels;</w:t>
      </w:r>
      <w:r>
        <w:t xml:space="preserve"> </w:t>
      </w:r>
      <w:r>
        <w:rPr>
          <w:rStyle w:val="VerbatimChar"/>
        </w:rPr>
        <w:t xml:space="preserve">doorsnijding_pct</w:t>
      </w:r>
      <w:r>
        <w:t xml:space="preserve"> </w:t>
      </w:r>
      <w:r>
        <w:t xml:space="preserve">blijft daarom leeg. Deze maatregel is een eenmalige herinrichting in 1997, anders dan de daarna doorlopende begrazing.</w:t>
      </w:r>
    </w:p>
    <w:p>
      <w:pPr>
        <w:pStyle w:val="BodyText"/>
      </w:pPr>
      <w:r>
        <w:t xml:space="preserve">De bestrijding van Watercrassula in de Kikkervallei is gekoppeld aan M13, M13s en M14. De Natura 2000-evaluatie van 25 april 2025 vermeldt op pagina 13 dat Watercrassula in 2015 en 2017 is aangetroffen, met zeil is afgedekt en sindsdien wordt bestreden. Daarmee zijn 2015 en 2017–2025 als</w:t>
      </w:r>
      <w:r>
        <w:t xml:space="preserve"> </w:t>
      </w:r>
      <w:r>
        <w:rPr>
          <w:rStyle w:val="VerbatimChar"/>
        </w:rPr>
        <w:t xml:space="preserve">uitgevoerd</w:t>
      </w:r>
      <w:r>
        <w:t xml:space="preserve"> </w:t>
      </w:r>
      <w:r>
        <w:t xml:space="preserve">vastgelegd; 2016 en 2026 zijn niet toegevoegd.</w:t>
      </w:r>
      <w:r>
        <w:t xml:space="preserve"> </w:t>
      </w:r>
      <w:r>
        <w:rPr>
          <w:i/>
          <w:iCs/>
        </w:rPr>
        <w:t xml:space="preserve">Holland’s Duinen</w:t>
      </w:r>
      <w:r>
        <w:t xml:space="preserve"> </w:t>
      </w:r>
      <w:r>
        <w:t xml:space="preserve">55 plaatst het Kikkervalleiengebied op pagina 22 praktisch geheel binnen de drie kavels. Ton bevestigde deze koppeling op 14 oktober 2026. De exacte besmettings- en behandelingsvoetafdruk per kavel is niet bekend;</w:t>
      </w:r>
      <w:r>
        <w:t xml:space="preserve"> </w:t>
      </w:r>
      <w:r>
        <w:rPr>
          <w:rStyle w:val="VerbatimChar"/>
        </w:rPr>
        <w:t xml:space="preserve">doorsnijding_pct</w:t>
      </w:r>
      <w:r>
        <w:t xml:space="preserve"> </w:t>
      </w:r>
      <w:r>
        <w:t xml:space="preserve">blijft daarom leeg.</w:t>
      </w:r>
    </w:p>
    <w:p>
      <w:pPr>
        <w:pStyle w:val="BodyText"/>
      </w:pPr>
      <w:r>
        <w:t xml:space="preserve">Ook het nabeheer tegen Duindoorn in de Kikkervalleien is gekoppeld aan M13, M13s en M14.</w:t>
      </w:r>
      <w:r>
        <w:t xml:space="preserve"> </w:t>
      </w:r>
      <w:r>
        <w:rPr>
          <w:i/>
          <w:iCs/>
        </w:rPr>
        <w:t xml:space="preserve">Holland’s Duinen</w:t>
      </w:r>
      <w:r>
        <w:t xml:space="preserve"> </w:t>
      </w:r>
      <w:r>
        <w:t xml:space="preserve">55 vermeldt op pagina 5 dat na de herinrichting van 1997 eerst handmatig en later vooral machinaal Duindoorn is bestreden; de samenvatting op pagina 36 noemt jaarlijks maaien van de valleien om Duindoorn tegen te gaan. Pagina 22 benoemt M13, M13s en M14 als de kavels waarin de Kikkervalleien praktisch geheel liggen. Ton bevestigde de koppeling op 15 oktober 2026. De publicatie beschrijft ontwikkelingen tot en met 2009, maar geeft geen sluitende uitvoeringsreeks of behandelingsoppervlakte per kavel. Daarom blijven</w:t>
      </w:r>
      <w:r>
        <w:t xml:space="preserve"> </w:t>
      </w:r>
      <w:r>
        <w:rPr>
          <w:rStyle w:val="VerbatimChar"/>
        </w:rPr>
        <w:t xml:space="preserve">doorsnijding_pct</w:t>
      </w:r>
      <w:r>
        <w:t xml:space="preserve"> </w:t>
      </w:r>
      <w:r>
        <w:t xml:space="preserve">en de jaarlaag leeg; de drie relaties voegen geen regel toe aan de bronvaste plot-jaarlaag.</w:t>
      </w:r>
    </w:p>
    <w:p>
      <w:pPr>
        <w:pStyle w:val="BodyText"/>
      </w:pPr>
      <w:r>
        <w:t xml:space="preserve">Ook het verwijderen van de omgevende leidingen en putten van Sprang PI en I in 1997 is gekoppeld aan M13, M13s en M14.</w:t>
      </w:r>
      <w:r>
        <w:t xml:space="preserve"> </w:t>
      </w:r>
      <w:r>
        <w:rPr>
          <w:i/>
          <w:iCs/>
        </w:rPr>
        <w:t xml:space="preserve">Meijendel Mededelingen</w:t>
      </w:r>
      <w:r>
        <w:t xml:space="preserve"> </w:t>
      </w:r>
      <w:r>
        <w:t xml:space="preserve">30 van november 1996 koppelt Sprang PI op pagina 99 letterlijk aan M13s en plaatst het betrokken rietgebied in M13s en M14; deze twee relaties zijn daarom</w:t>
      </w:r>
      <w:r>
        <w:t xml:space="preserve"> </w:t>
      </w:r>
      <w:r>
        <w:rPr>
          <w:rStyle w:val="VerbatimChar"/>
        </w:rPr>
        <w:t xml:space="preserve">expliciet_in_bron</w:t>
      </w:r>
      <w:r>
        <w:t xml:space="preserve">. De bronkaarten plaatsen Sprang I aan de oostzijde van het werkgebied en</w:t>
      </w:r>
      <w:r>
        <w:t xml:space="preserve"> </w:t>
      </w:r>
      <w:r>
        <w:rPr>
          <w:i/>
          <w:iCs/>
        </w:rPr>
        <w:t xml:space="preserve">Holland’s Duinen</w:t>
      </w:r>
      <w:r>
        <w:t xml:space="preserve"> </w:t>
      </w:r>
      <w:r>
        <w:t xml:space="preserve">55 plaatst het geschoonde gebied praktisch geheel binnen de drie kavels. Ton bevestigde M13 op 14 oktober 2026; die relatie is daarom</w:t>
      </w:r>
      <w:r>
        <w:t xml:space="preserve"> </w:t>
      </w:r>
      <w:r>
        <w:rPr>
          <w:rStyle w:val="VerbatimChar"/>
        </w:rPr>
        <w:t xml:space="preserve">benoemd_gebied_gevalideerd</w:t>
      </w:r>
      <w:r>
        <w:t xml:space="preserve">. Een exacte geometrie van leidingen en putten ontbreekt voor alle drie kavels, zodat</w:t>
      </w:r>
      <w:r>
        <w:t xml:space="preserve"> </w:t>
      </w:r>
      <w:r>
        <w:rPr>
          <w:rStyle w:val="VerbatimChar"/>
        </w:rPr>
        <w:t xml:space="preserve">doorsnijding_pct</w:t>
      </w:r>
      <w:r>
        <w:t xml:space="preserve"> </w:t>
      </w:r>
      <w:r>
        <w:t xml:space="preserve">leeg blijft. Dit was een eenmalige ingreep in 1997.</w:t>
      </w:r>
    </w:p>
    <w:p>
      <w:pPr>
        <w:pStyle w:val="BodyText"/>
      </w:pPr>
      <w:r>
        <w:t xml:space="preserve">Ton heeft op 14 oktober 2026 Plas 20 als volledig plassensysteem gelokaliseerd: de zuidelijke plas ligt in M17b, de middelste in M17a en de noordelijke in M16. De publicatie</w:t>
      </w:r>
      <w:r>
        <w:t xml:space="preserve"> </w:t>
      </w:r>
      <w:r>
        <w:rPr>
          <w:i/>
          <w:iCs/>
        </w:rPr>
        <w:t xml:space="preserve">Schone start voor infiltratieplas 20 in Meijendel</w:t>
      </w:r>
      <w:r>
        <w:t xml:space="preserve"> </w:t>
      </w:r>
      <w:r>
        <w:t xml:space="preserve">toont het langgerekte systeem en de noordelijke, middelste en zuidelijke delen in figuur 1 en 2. Zij staat in</w:t>
      </w:r>
      <w:r>
        <w:t xml:space="preserve"> </w:t>
      </w:r>
      <w:r>
        <w:rPr>
          <w:i/>
          <w:iCs/>
        </w:rPr>
        <w:t xml:space="preserve">Holland’s Duinen</w:t>
      </w:r>
      <w:r>
        <w:t xml:space="preserve"> </w:t>
      </w:r>
      <w:r>
        <w:t xml:space="preserve">48 van maart 2006; het Zotero-jaar 1989 is onjuist en verwijst in de tekst naar de eerdere slibverwijdering in Plas 13. Deze combinatie van gebruikersvaststelling en ruimtelijke broncontext onderbouwt twaalf koppelingen: drie voor de reparatie in 1969 en telkens drie voor slibverwijdering, hydrologische aanpassing en infrastructuurwerk in 2005–2006. Pan 13 is op grond van de primaire bron en het broedvogelverslag over 2006 als volledig plassensysteem in M2 en M3 gekoppeld; zowel de slibverwijdering als de oeveraanpassing in 1988–1989 heeft daardoor twee directe kavelrelaties.</w:t>
      </w:r>
    </w:p>
    <w:p>
      <w:pPr>
        <w:pStyle w:val="BodyText"/>
      </w:pPr>
      <w:r>
        <w:t xml:space="preserve">Ton heeft op 14 oktober 2026 ook Libellenvallei gelokaliseerd in M17b. De publicatie</w:t>
      </w:r>
      <w:r>
        <w:t xml:space="preserve"> </w:t>
      </w:r>
      <w:r>
        <w:rPr>
          <w:i/>
          <w:iCs/>
        </w:rPr>
        <w:t xml:space="preserve">Vegetatieontwikkeling in duinvalleien van Meijendel na opheffen van infiltratieplassen</w:t>
      </w:r>
      <w:r>
        <w:t xml:space="preserve"> </w:t>
      </w:r>
      <w:r>
        <w:t xml:space="preserve">in</w:t>
      </w:r>
      <w:r>
        <w:t xml:space="preserve"> </w:t>
      </w:r>
      <w:r>
        <w:rPr>
          <w:i/>
          <w:iCs/>
        </w:rPr>
        <w:t xml:space="preserve">Holland’s Duinen</w:t>
      </w:r>
      <w:r>
        <w:t xml:space="preserve"> </w:t>
      </w:r>
      <w:r>
        <w:t xml:space="preserve">42 van april 2003 vermeldt dat de Libellenvallei sinds 1975 eenmaal per jaar in het najaar wordt gemaaid. Deze combinatie onderbouwt één koppeling voor het maaibeheer, met een uitgevoerde jaarregel voor 1975.</w:t>
      </w:r>
    </w:p>
    <w:p>
      <w:pPr>
        <w:pStyle w:val="BodyText"/>
      </w:pPr>
      <w:r>
        <w:t xml:space="preserve">Ton heeft op 14 oktober 2026 Parnassiapad 2 gekoppeld aan M15. De primaire publicatie uit 2003 beschrijft twee permanente meetblokken binnen een circa twintig meter breed transect en noemt in 2001 een plagleeftijd van acht jaar; het uitvoeringsjaar is daarom als circa 1993 vastgelegd.</w:t>
      </w:r>
      <w:r>
        <w:t xml:space="preserve"> </w:t>
      </w:r>
      <w:r>
        <w:rPr>
          <w:i/>
          <w:iCs/>
        </w:rPr>
        <w:t xml:space="preserve">Holland’s Duinen</w:t>
      </w:r>
      <w:r>
        <w:t xml:space="preserve"> </w:t>
      </w:r>
      <w:r>
        <w:t xml:space="preserve">86 van mei 2025 toont op pagina 49, figuur 1, de route Parnassiapad aan de noordzijde van de Helmduinen en is als aanvullende ruimtelijke context geregistreerd. De precieze plaggrens binnen M15 is niet bekend;</w:t>
      </w:r>
      <w:r>
        <w:t xml:space="preserve"> </w:t>
      </w:r>
      <w:r>
        <w:rPr>
          <w:rStyle w:val="VerbatimChar"/>
        </w:rPr>
        <w:t xml:space="preserve">doorsnijding_pct</w:t>
      </w:r>
      <w:r>
        <w:t xml:space="preserve"> </w:t>
      </w:r>
      <w:r>
        <w:t xml:space="preserve">blijft leeg.</w:t>
      </w:r>
    </w:p>
    <w:p>
      <w:pPr>
        <w:pStyle w:val="BodyText"/>
      </w:pPr>
      <w:r>
        <w:t xml:space="preserve">Ton heeft op 14 oktober 2026 ook Parnassiapad 1 gekoppeld aan M15. De primaire publicatie</w:t>
      </w:r>
      <w:r>
        <w:t xml:space="preserve"> </w:t>
      </w:r>
      <w:r>
        <w:rPr>
          <w:i/>
          <w:iCs/>
        </w:rPr>
        <w:t xml:space="preserve">Vegetatieontwikkeling in duinvalleien van Meijendel na opheffen van infiltratieplassen</w:t>
      </w:r>
      <w:r>
        <w:t xml:space="preserve"> </w:t>
      </w:r>
      <w:r>
        <w:t xml:space="preserve">uit 2003 onderscheidt Parnassiapad 1 in tabel 1 als de circa vier jaar eerder geplagde blokken E en F; het uitvoeringsjaar is daarom als circa 1997 vastgelegd. Bijlage A toont de opbouw en oriëntatie van het transect, maar geen kavelgrens of exacte plaggeometrie. De precieze plaggrens binnen M15 is daarom niet bekend en</w:t>
      </w:r>
      <w:r>
        <w:t xml:space="preserve"> </w:t>
      </w:r>
      <w:r>
        <w:rPr>
          <w:rStyle w:val="VerbatimChar"/>
        </w:rPr>
        <w:t xml:space="preserve">doorsnijding_pct</w:t>
      </w:r>
      <w:r>
        <w:t xml:space="preserve"> </w:t>
      </w:r>
      <w:r>
        <w:t xml:space="preserve">blijft leeg.</w:t>
      </w:r>
    </w:p>
    <w:p>
      <w:pPr>
        <w:pStyle w:val="BodyText"/>
      </w:pPr>
      <w:r>
        <w:t xml:space="preserve">Ton heeft op 15 oktober 2026 Plas 8.4.2 gekoppeld aan M32.</w:t>
      </w:r>
      <w:r>
        <w:t xml:space="preserve"> </w:t>
      </w:r>
      <w:r>
        <w:rPr>
          <w:i/>
          <w:iCs/>
        </w:rPr>
        <w:t xml:space="preserve">Slibverwijdering infiltratieplassen Meijendel</w:t>
      </w:r>
      <w:r>
        <w:t xml:space="preserve"> </w:t>
      </w:r>
      <w:r>
        <w:t xml:space="preserve">uit</w:t>
      </w:r>
      <w:r>
        <w:t xml:space="preserve"> </w:t>
      </w:r>
      <w:r>
        <w:rPr>
          <w:i/>
          <w:iCs/>
        </w:rPr>
        <w:t xml:space="preserve">Holland’s Duinen</w:t>
      </w:r>
      <w:r>
        <w:t xml:space="preserve"> </w:t>
      </w:r>
      <w:r>
        <w:t xml:space="preserve">46 van april 2005 vermeldt dat deze regelmatig verstopte plas in 2002 opnieuw is uitgebaggerd en toont haar als zuidwestelijke plas van Complex 8. Vergelijking van deze overzichtskaart met de actuele TOP10NL-watergeometrie en SOVON-kavelgeometrie plaatst de volledige plas in M32. De precieze werkvoetafdruk van de slibverwijdering binnen de plas is niet begrensd;</w:t>
      </w:r>
      <w:r>
        <w:t xml:space="preserve"> </w:t>
      </w:r>
      <w:r>
        <w:rPr>
          <w:rStyle w:val="VerbatimChar"/>
        </w:rPr>
        <w:t xml:space="preserve">doorsnijding_pct</w:t>
      </w:r>
      <w:r>
        <w:t xml:space="preserve"> </w:t>
      </w:r>
      <w:r>
        <w:t xml:space="preserve">blijft daarom leeg.</w:t>
      </w:r>
    </w:p>
    <w:p>
      <w:pPr>
        <w:pStyle w:val="BodyText"/>
      </w:pPr>
      <w:r>
        <w:t xml:space="preserve">Ton heeft op 15 oktober 2026 maatregel 22d voor Waalsdorp gekoppeld aan M84 en M43 en M84s uitgesloten. De Natura 2000-evaluatie van 25 april 2025 beschrijft voor 2016–2019 maaien en schapenbegrazing en voor 2018–2019 tevens struweelverwijdering. Voor 2020 is uitvoering onbekend; in 2021 zijn geen werkzaamheden uitgevoerd. De actuele TOP10NL-geometrie van de Vlakte van Waalsdorp raakt beide gekozen kavels, maar begrenst de werkelijk behandelde hectare niet.</w:t>
      </w:r>
      <w:r>
        <w:t xml:space="preserve"> </w:t>
      </w:r>
      <w:r>
        <w:rPr>
          <w:rStyle w:val="VerbatimChar"/>
        </w:rPr>
        <w:t xml:space="preserve">doorsnijding_pct</w:t>
      </w:r>
      <w:r>
        <w:t xml:space="preserve"> </w:t>
      </w:r>
      <w:r>
        <w:t xml:space="preserve">blijft daarom voor M84 en M43 leeg.</w:t>
      </w:r>
    </w:p>
    <w:p>
      <w:pPr>
        <w:pStyle w:val="BodyText"/>
      </w:pPr>
      <w:r>
        <w:t xml:space="preserve">Ton heeft op 15 oktober 2026 Meeuwenduin voor deze maatregel gelijkgesteld aan Meeuwenhoek. Prinsenduin en Prinsenberg zijn juist van elkaar gescheiden. De Prinsenberg is het uitzichtpunt op 52.1314451° N, 4.3186070° E in M2; de bredere TOP10NL-geometrie met die naam raakt M2, M3, M35 en M36. Van der Hagen et al. (2020), figuur 1, toont Prinsenduin als afzonderlijk zuidwestelijk onderzoeksgebied; Ton lokaliseerde dit gebied in M17a. Het in november 2023 gestarte werk is daardoor gekoppeld aan M10-12-76, M12a, M73, M74 en M75 voor Meeuwenduin en aan M17a voor Prinsenduin. De in 2024 bevestigde voortzetting is alleen aan M17a gekoppeld. De eerdere Prinsenduin-relaties met M2, M3, M35 en M36 zijn retroactief verwijderd. De exacte werkvoetafdruk binnen de zeven resterende uitvoering-kavelrelaties is onbekend;</w:t>
      </w:r>
      <w:r>
        <w:t xml:space="preserve"> </w:t>
      </w:r>
      <w:r>
        <w:rPr>
          <w:rStyle w:val="VerbatimChar"/>
        </w:rPr>
        <w:t xml:space="preserve">doorsnijding_pct</w:t>
      </w:r>
      <w:r>
        <w:t xml:space="preserve"> </w:t>
      </w:r>
      <w:r>
        <w:t xml:space="preserve">blijft leeg.</w:t>
      </w:r>
    </w:p>
    <w:p>
      <w:pPr>
        <w:pStyle w:val="BodyText"/>
      </w:pPr>
      <w:r>
        <w:t xml:space="preserve">Maatregel 22h, aanvullend beheer in 2016–2021, is gekoppeld aan zes kavels: M15 en M16 voor Helmduinen; M17a voor Prinsenduin; M13s, M77 en M78/79 voor Ganzenhoek; en M17a, M16, M15, M13s en M78/79 voor de buitenste zeereep direct achter het strand. De Natura 2000-evaluatie bevat zes jaarbeoordelingen: uitvoering in 2016 en 2017 en</w:t>
      </w:r>
      <w:r>
        <w:t xml:space="preserve"> </w:t>
      </w:r>
      <w:r>
        <w:rPr>
          <w:rStyle w:val="VerbatimChar"/>
        </w:rPr>
        <w:t xml:space="preserve">onbekend</w:t>
      </w:r>
      <w:r>
        <w:t xml:space="preserve"> </w:t>
      </w:r>
      <w:r>
        <w:t xml:space="preserve">in 2018–2021. Alleen de twee uitgevoerde jaren leveren samen twaalf plot-jaarrijen. De bron verdeelt de werkzaamheden niet over naamgebieden of kavels; deze regels beschrijven daarom de uitvoeringsscope en bewijzen niet dat in ieder van de zes kavels in beide jaren feitelijk is gewerkt.</w:t>
      </w:r>
    </w:p>
    <w:p>
      <w:pPr>
        <w:pStyle w:val="BodyText"/>
      </w:pPr>
      <w:r>
        <w:t xml:space="preserve">De konijnenbijplaatsingsproef is voor 2024 gekoppeld aan M8 en M41. De ODH-beschikking van 28 augustus 2023 en het daarin opgenomen activiteitenplan benoemen en begrenzen de uitzetlocaties Kleine Pan en Waterschapsvallei. De nameninventaris koppelt Kleine Pan aan M8; vergelijking met de actuele SOVON-kavelgeometrie plaatst Waterschapsvallei in M41. Ton bevestigde beide koppelingen op 14 oktober 2026. Het Dunea-jaarverslag bevestigt dat de proef in 2024 is begonnen en dat rond de uitzetlocaties is gemonitord. De beschikking gold tot en met 31 maart 2026, maar dat vergunningsbereik bewijst geen uitvoering in 2025 of 2026. Daarom bevat de jaarlaag alleen 2024. De precieze uitzet- en monitoringsvoetafdruk binnen beide kavels is niet vastgesteld;</w:t>
      </w:r>
      <w:r>
        <w:t xml:space="preserve"> </w:t>
      </w:r>
      <w:r>
        <w:rPr>
          <w:rStyle w:val="VerbatimChar"/>
        </w:rPr>
        <w:t xml:space="preserve">doorsnijding_pct</w:t>
      </w:r>
      <w:r>
        <w:t xml:space="preserve"> </w:t>
      </w:r>
      <w:r>
        <w:t xml:space="preserve">blijft leeg.</w:t>
      </w:r>
    </w:p>
    <w:p>
      <w:pPr>
        <w:pStyle w:val="BodyText"/>
      </w:pPr>
      <w:r>
        <w:t xml:space="preserve">Het elektriciteitswerk in Vallei Meijendel is op 15 oktober 2026 door Ton gekoppeld aan M51. Dunea lokaliseert de aangekondigde kabels, elektriciteitskast en laadvoorbereiding op het parkeerterrein bij De Tapuit, het bezoekerscentrum en Boerderij Meyendel. De afzonderlijk gecontroleerde openbare locatiepunten van deze drie voorzieningen liggen volgens de actuele kavelgeometrie alle in M51. Het precieze kabeltracé en de werkvoetafdruk zijn niet gepubliceerd;</w:t>
      </w:r>
      <w:r>
        <w:t xml:space="preserve"> </w:t>
      </w:r>
      <w:r>
        <w:rPr>
          <w:rStyle w:val="VerbatimChar"/>
        </w:rPr>
        <w:t xml:space="preserve">doorsnijding_pct</w:t>
      </w:r>
      <w:r>
        <w:t xml:space="preserve"> </w:t>
      </w:r>
      <w:r>
        <w:t xml:space="preserve">blijft daarom leeg. De bron bevestigt evenmin de voltooiing. De uitvoering houdt status</w:t>
      </w:r>
      <w:r>
        <w:t xml:space="preserve"> </w:t>
      </w:r>
      <w:r>
        <w:rPr>
          <w:rStyle w:val="VerbatimChar"/>
        </w:rPr>
        <w:t xml:space="preserve">onbekend</w:t>
      </w:r>
      <w:r>
        <w:t xml:space="preserve">, heeft nul jaarregels en voegt dus geen regel toe aan</w:t>
      </w:r>
      <w:r>
        <w:t xml:space="preserve"> </w:t>
      </w:r>
      <w:r>
        <w:rPr>
          <w:rStyle w:val="VerbatimChar"/>
        </w:rPr>
        <w:t xml:space="preserve">v_plot_jaar_maatregel_bronvast</w:t>
      </w:r>
      <w:r>
        <w:t xml:space="preserve">.</w:t>
      </w:r>
    </w:p>
    <w:p>
      <w:pPr>
        <w:pStyle w:val="BodyText"/>
      </w:pPr>
      <w:r>
        <w:t xml:space="preserve">De werkzaamheden aan de Paardenstal zijn op 15 oktober 2026 door Ton gekoppeld aan M51. De definitieve ODH-beschikking van 5 november 2025, zaak 01132870 en kenmerk ODH1498120, beschrijft vervanging van houten dakdelen, plaatsing van zonnecollectoren, aanpassing van gevels en kozijnen en aanleg van water- en elektriciteitsleidingen. Zij legt tevens mitigerende maatregelen vast voor vier zomerverblijfplaatsen en één paarverblijfplaats van de Gewone dwergvleermuis. De kaartbijlagen op pagina 12–14 begrenzen de Paardenstal naast De Tapuit en Boerderij Meyendel. De exacte werkvoetafdruk binnen M51 is niet gepubliceerd;</w:t>
      </w:r>
      <w:r>
        <w:t xml:space="preserve"> </w:t>
      </w:r>
      <w:r>
        <w:rPr>
          <w:rStyle w:val="VerbatimChar"/>
        </w:rPr>
        <w:t xml:space="preserve">doorsnijding_pct</w:t>
      </w:r>
      <w:r>
        <w:t xml:space="preserve"> </w:t>
      </w:r>
      <w:r>
        <w:t xml:space="preserve">blijft leeg. Dunea noemt 1 november 2026 tot en met 31 maart 2027 als werkperiode. Omdat noch Dunea noch de beschikking op 15 oktober 2026 uitvoering bevestigt, blijft de status</w:t>
      </w:r>
      <w:r>
        <w:t xml:space="preserve"> </w:t>
      </w:r>
      <w:r>
        <w:rPr>
          <w:rStyle w:val="VerbatimChar"/>
        </w:rPr>
        <w:t xml:space="preserve">gepland</w:t>
      </w:r>
      <w:r>
        <w:t xml:space="preserve">; de uitvoering heeft nul jaarregels en voegt geen regel toe aan</w:t>
      </w:r>
      <w:r>
        <w:t xml:space="preserve"> </w:t>
      </w:r>
      <w:r>
        <w:rPr>
          <w:rStyle w:val="VerbatimChar"/>
        </w:rPr>
        <w:t xml:space="preserve">v_plot_jaar_maatregel_bronvast</w:t>
      </w:r>
      <w:r>
        <w:t xml:space="preserve">.</w:t>
      </w:r>
    </w:p>
    <w:p>
      <w:pPr>
        <w:pStyle w:val="BodyText"/>
      </w:pPr>
      <w:r>
        <w:t xml:space="preserve">Bendel is op 15 oktober 2026 als buiten het Meijendel-plotgebied beoordeeld. De nameninventaris bevat 182 objecten maar geen object met de naam Bendel. Staatsbosbeheer lokaliseert het gebied expliciet in Berkheide-Noord.</w:t>
      </w:r>
      <w:r>
        <w:t xml:space="preserve"> </w:t>
      </w:r>
      <w:r>
        <w:rPr>
          <w:i/>
          <w:iCs/>
        </w:rPr>
        <w:t xml:space="preserve">Holland’s Duinen</w:t>
      </w:r>
      <w:r>
        <w:t xml:space="preserve"> </w:t>
      </w:r>
      <w:r>
        <w:t xml:space="preserve">88 beschrijft daarnaast een afzonderlijke, afgeronde herinrichting van oktober 2025 tot maart 2026: herstel van historische duinakkers, dynamisch grijs duin en vochtige duinvalleien, plus aanleg van twee duinpoelen. Deze uitvoering heeft twee uitgevoerde jaarregels, voor 2025 en 2026. Het provinciale openstellingsbesluit van 22 april 2026 betreft aansluitend nabeheer voor H2130 en H2190, maar bewijst geen opdracht of uitvoering van dat nabeheer. Beide uitvoeringen zijn in</w:t>
      </w:r>
      <w:r>
        <w:t xml:space="preserve"> </w:t>
      </w:r>
      <w:r>
        <w:rPr>
          <w:rStyle w:val="VerbatimChar"/>
        </w:rPr>
        <w:t xml:space="preserve">maatregel_uitvoering_plotscope</w:t>
      </w:r>
      <w:r>
        <w:t xml:space="preserve"> </w:t>
      </w:r>
      <w:r>
        <w:t xml:space="preserve">gemarkeerd als</w:t>
      </w:r>
      <w:r>
        <w:t xml:space="preserve"> </w:t>
      </w:r>
      <w:r>
        <w:rPr>
          <w:rStyle w:val="VerbatimChar"/>
        </w:rPr>
        <w:t xml:space="preserve">buiten_meijendel_plotgebied</w:t>
      </w:r>
      <w:r>
        <w:t xml:space="preserve"> </w:t>
      </w:r>
      <w:r>
        <w:t xml:space="preserve">en krijgen geen Meijendel-kavelrelatie of plot-jaarrij.</w:t>
      </w:r>
    </w:p>
    <w:p>
      <w:pPr>
        <w:pStyle w:val="BodyText"/>
      </w:pPr>
      <w:r>
        <w:t xml:space="preserve">De jaarlijkse begrazing van Weiduin is op 15 oktober 2026 eveneens expliciet als buiten het Meijendel-plotgebied beoordeeld. Het Natura 2000-beheerplan beschrijft maatregel 24a als beheer op terrein van een particuliere landgoedeigenaar. De gemeentelijke objectinventaris identificeert Weiduin als het landhuis aan Prins Frederiklaan 28. De actuele PDOK-Kadastrale Kaart koppelt dit adres aan perceel Wassenaar H 2889 van 13.325 m². Dit perceel doorsnijdt geen van de 55 levende Meijendel-plots; M85 is met 226,5 meter de dichtstbijzijnde plot. Ton bevestigde daarom dat uitvoering 20 geen plotkoppeling krijgt.</w:t>
      </w:r>
      <w:r>
        <w:t xml:space="preserve"> </w:t>
      </w:r>
      <w:r>
        <w:rPr>
          <w:rStyle w:val="VerbatimChar"/>
        </w:rPr>
        <w:t xml:space="preserve">maatregel_uitvoering_plotscope</w:t>
      </w:r>
      <w:r>
        <w:t xml:space="preserve"> </w:t>
      </w:r>
      <w:r>
        <w:t xml:space="preserve">bevat hiervoor een geverifieerde regel; de uitvoering levert geen plot-jaarrij op.</w:t>
      </w:r>
    </w:p>
    <w:p>
      <w:pPr>
        <w:pStyle w:val="BodyText"/>
      </w:pPr>
      <w:r>
        <w:t xml:space="preserve">Het leidingwerk binnen het Programma Investeringen Meijendel is gecorrigeerd van ‘6,5 kilometer aangelegd’ naar ‘6,5 kilometer vernieuwd’. Dunea beschrijft dit als totaal voor het programma van 2010 tot en met 22 oktober 2018. Haagse Archeologische Rapportage 1306 uit 2013 noemt vervanging of aansluiting van leidingwerk in Serie RA, Serie WV, Serie E, Serie LV en Complex 8 en begrenst de PIM-werkgebieden op afbeelding 1. De kaart is over de actuele kavelgeometrie gelegd; Ton bevestigde op 15 oktober 2026 de gezamenlijke koppeling aan M41, M42, M43, M45, M84, M84s en M85. De gepubliceerde 6,5 kilometer is niet over de series of kavels verdeeld. Daarom blijven de zeven</w:t>
      </w:r>
      <w:r>
        <w:t xml:space="preserve"> </w:t>
      </w:r>
      <w:r>
        <w:rPr>
          <w:rStyle w:val="VerbatimChar"/>
        </w:rPr>
        <w:t xml:space="preserve">doorsnijding_pct</w:t>
      </w:r>
      <w:r>
        <w:t xml:space="preserve">-waarden leeg en beschrijven de zeven plot-jaarrijen voor 2018 de uitvoeringsscope, niet een bekende lengte of werkvoetafdruk per kavel.</w:t>
      </w:r>
    </w:p>
    <w:p>
      <w:pPr>
        <w:pStyle w:val="BodyText"/>
      </w:pPr>
      <w:r>
        <w:t xml:space="preserve">De programmabrede schoning en natuurvriendelijke inrichting van infiltratiepannen in 2010–2018 is voor het bronvast lokaliseerbare deel gekoppeld aan M6, M7, M13 en M77. Het definitieve Natura 2000-beheerplan 2016–2022 koppelt op pagina 131 de PIM-aanpassingen aan de oevers van infiltratieplassen expliciet aan Tafelberg en ’t Scheepje. De actuele nameninventaris koppelt Tafelberg aan M13 en M77 en ’t Scheepje aan M6 en M7; Ton bevestigde de vier relaties op 16 oktober 2026. Dunea meldt voor het volledige programma 370.000 m3 verwijderd materiaal, maar de 782 op 16 oktober opnieuw doorzochte PDF-bestanden in de gekoppelde Zotero-opslag leveren geen volledige uitvoeringslijst per infiltratieplas. Het volume wordt daarom niet over de vier kavels verdeeld en</w:t>
      </w:r>
      <w:r>
        <w:t xml:space="preserve"> </w:t>
      </w:r>
      <w:r>
        <w:rPr>
          <w:rStyle w:val="VerbatimChar"/>
        </w:rPr>
        <w:t xml:space="preserve">doorsnijding_pct</w:t>
      </w:r>
      <w:r>
        <w:t xml:space="preserve"> </w:t>
      </w:r>
      <w:r>
        <w:t xml:space="preserve">blijft leeg. De vier relaties leveren voor het afgeronde programmajaar 2018 vier plot-jaarrijen; die bewijzen de uitvoeringsscope van de gelokaliseerde oeveraanpassingen, niet dat het volledige volume in deze vier kavels is verwijderd.</w:t>
      </w:r>
    </w:p>
    <w:p>
      <w:pPr>
        <w:pStyle w:val="BodyText"/>
      </w:pPr>
      <w:r>
        <w:t xml:space="preserve">De bijna 400.000 m² geplagde duinen binnen hetzelfde programma zijn gekoppeld aan acht unieke kavels: M15 en M16 voor Helmduinen; M10-12-76, M12a, M73, M74 en M75 voor Meeuwenduin; M10-12-76 en M75 voor Elleboogsprang; en M71 voor Vinkenhoek.</w:t>
      </w:r>
      <w:r>
        <w:t xml:space="preserve"> </w:t>
      </w:r>
      <w:r>
        <w:rPr>
          <w:i/>
          <w:iCs/>
        </w:rPr>
        <w:t xml:space="preserve">Holland’s Duinen</w:t>
      </w:r>
      <w:r>
        <w:t xml:space="preserve"> </w:t>
      </w:r>
      <w:r>
        <w:t xml:space="preserve">63 bevestigt vegetatieverwijdering in Elleboogsprang, Helmduinen en Vinkenhoek; nummer 64 toont deze drie gebieden en Meeuwenduin als de vier gevolgde herstelgebieden. Haagse Archeologische Rapportage 1204 uit februari 2012 begrenst Elleboogsprang, Meeuwenduin en Vinkenhoek op PDF-pagina 4. De kaartcontouren zijn gedigitaliseerd en met de gepubliceerde schaal en de RD-referenties 84/463–85/463 en 85/461–462 over de actuele kavelgeometrie gelegd. Elleboogsprang snijdt alleen M10-12-76 en M75; Vinkenhoek ligt volledig in M71. De gereconstrueerde Vinkenhoek-contour meet circa 8,3 hectare, tegenover circa 8 hectare in de publicatie. De kaartnauwkeurigheid is voldoende voor deze kaveltoedeling, maar niet voor opslag als exacte uitvoeringsgeometrie of voor verdeling van de programmabrede 40 hectare en 100.000 m³ zand.</w:t>
      </w:r>
      <w:r>
        <w:t xml:space="preserve"> </w:t>
      </w:r>
      <w:r>
        <w:rPr>
          <w:rStyle w:val="VerbatimChar"/>
        </w:rPr>
        <w:t xml:space="preserve">doorsnijding_pct</w:t>
      </w:r>
      <w:r>
        <w:t xml:space="preserve"> </w:t>
      </w:r>
      <w:r>
        <w:t xml:space="preserve">blijft daarom voor alle acht relaties leeg. De uitgevoerde jaarregel voor 2018 levert acht plot-jaarrijen.</w:t>
      </w:r>
    </w:p>
    <w:p>
      <w:pPr>
        <w:pStyle w:val="BodyText"/>
      </w:pPr>
      <w:r>
        <w:t xml:space="preserve">De bijna 700 nieuwe winputten uit het optimalisatieprogramma zijn gekoppeld aan 22 unieke kavels: M1a, M1b, M3, M6, M10-12-76, M12a, M14, M15, M16, M16s, M17a, M17b, M31, M32, M33, M36, M41, M43, M45, M55, M62 en M83. Dunea bevestigt de afronding in 2018 en het programmatotaal, maar publiceert geen putpunten of verdeling per winningsserie. HAR 1306 uit 2013 begrenst op afbeelding 1 de PIM-werkcorridors en noemt in bijlage 2 nieuwe of vervangende putten in serie HH, WW, RA, C, KG, WV, E, LV, Complex 8.3 en Complex 8. De broncorridors zijn over de actuele kavelgeometrie gelegd. Ton bevestigde op 16 oktober 2026 de twintig duidelijke doorsnijdingen en daarnaast M16 en M62 als grensdoorsnijdingen. M10-12-76 wordt één keer gekoppeld, hoewel de kavel zowel serie HH als de rand van serie WW raakt. HAR 1306 blijft ruimtelijke plancontext; de feitelijke afronding volgt uit de afzonderlijke Dunea-bron. De kaart laat geen verdeling van de bijna 700 putten over kavels toe. Daarom blijven</w:t>
      </w:r>
      <w:r>
        <w:t xml:space="preserve"> </w:t>
      </w:r>
      <w:r>
        <w:rPr>
          <w:rStyle w:val="VerbatimChar"/>
        </w:rPr>
        <w:t xml:space="preserve">maatregel_geometrie</w:t>
      </w:r>
      <w:r>
        <w:t xml:space="preserve"> </w:t>
      </w:r>
      <w:r>
        <w:t xml:space="preserve">en alle</w:t>
      </w:r>
      <w:r>
        <w:t xml:space="preserve"> </w:t>
      </w:r>
      <w:r>
        <w:rPr>
          <w:rStyle w:val="VerbatimChar"/>
        </w:rPr>
        <w:t xml:space="preserve">doorsnijding_pct</w:t>
      </w:r>
      <w:r>
        <w:t xml:space="preserve">-waarden leeg. De uitgevoerde jaarregel voor 2018 levert 22 plot-jaarrijen.</w:t>
      </w:r>
    </w:p>
    <w:p>
      <w:pPr>
        <w:pStyle w:val="BodyText"/>
      </w:pPr>
      <w:r>
        <w:t xml:space="preserve">Infiltratieplas 27.2 is als afzonderlijke uitvoering binnen hetzelfde optimalisatieprogramma vastgelegd. De officiële externe bijlage uit 2013 beschrijft verwijdering van organisch verrijkt bodemmateriaal, aanpassing van de oever en waar mogelijk van de onderwateroever tussen 1 september 2013 en 1 maart 2014. Dunea bevestigt in 2018 dat het programma is afgerond. KIWA Mededeling 114 toont op PDF-pagina 73 de ligging van 27.2 in het noordelijke plassensysteem; vergelijking met de actuele kavelgeometrie en Tons bevestiging van 15 oktober 2026 koppelen de uitvoering aan M77. De precieze werkvoetafdruk binnen M77 is niet gepubliceerd en</w:t>
      </w:r>
      <w:r>
        <w:t xml:space="preserve"> </w:t>
      </w:r>
      <w:r>
        <w:rPr>
          <w:rStyle w:val="VerbatimChar"/>
        </w:rPr>
        <w:t xml:space="preserve">doorsnijding_pct</w:t>
      </w:r>
      <w:r>
        <w:t xml:space="preserve"> </w:t>
      </w:r>
      <w:r>
        <w:t xml:space="preserve">blijft leeg. De programmabrede 370.000 m3 verwijderd materiaal blijft uitsluitend bij de brede uitvoering</w:t>
      </w:r>
      <w:r>
        <w:t xml:space="preserve"> </w:t>
      </w:r>
      <w:r>
        <w:rPr>
          <w:rStyle w:val="VerbatimChar"/>
        </w:rPr>
        <w:t xml:space="preserve">waterwinning_pannen_2010_2018</w:t>
      </w:r>
      <w:r>
        <w:t xml:space="preserve">; dit volume is niet aan plas 27.2 toegeschreven.</w:t>
      </w:r>
    </w:p>
    <w:p>
      <w:pPr>
        <w:pStyle w:val="BodyText"/>
      </w:pPr>
      <w:r>
        <w:t xml:space="preserve">De 211 plotkoppelingen en 88 uitgevoerde jaarregels leveren samen 307 regels in</w:t>
      </w:r>
      <w:r>
        <w:t xml:space="preserve"> </w:t>
      </w:r>
      <w:r>
        <w:rPr>
          <w:rStyle w:val="VerbatimChar"/>
        </w:rPr>
        <w:t xml:space="preserve">v_plot_jaar_maatregel_bronvast</w:t>
      </w:r>
      <w:r>
        <w:t xml:space="preserve">. De negen koppelingen van de begrazing van Vallei Meijendel voegen geen plot-jaarrijen toe, omdat de bron geen beginjaar geeft. Maatregel 3c voegt voor 2017–2021 65 scoperegels voor dertien kavels toe; de bron verdeelt de 110 hectare niet over de drie gebieden, kavels of jaren. Maatregel 3d voegt tien scoperegels voor vijf kavels toe in 2021 en 2025; 2020 is niet uitgevoerd. De slagboomvervanging voegt voor M55 en M85 twee plot-jaarrijen in 2025 toe. De tien koppelingen van het onderzochte PAS-maaibeheer 23 voegen geen plot-jaarrijen toe, omdat alle vier jaarregels 2016–2019</w:t>
      </w:r>
      <w:r>
        <w:t xml:space="preserve"> </w:t>
      </w:r>
      <w:r>
        <w:rPr>
          <w:rStyle w:val="VerbatimChar"/>
        </w:rPr>
        <w:t xml:space="preserve">niet_uitgevoerd</w:t>
      </w:r>
      <w:r>
        <w:t xml:space="preserve"> </w:t>
      </w:r>
      <w:r>
        <w:t xml:space="preserve">zijn. Het maaibeheer in Ruijgenhoek, Lange Strook en De Loopert voegt vijf plotrelaties maar geen plot-jaarrijen toe, omdat vaststelbare uitvoeringsjaren ontbreken. De Ganzenhoekbosdunning voegt twee plot-jaarrijen voor M77 en M78/79 in 2017 toe. De nameninventaris voegt 36 plot-jaarrijen toe. De aanvullende systeemkoppelingen voegen 22 plot-jaarrijen toe. De Helmduinen-koppeling voegt twee plot-jaarrijen voor 1991 toe. Het opslagbeheer in Meeuwenduin en Prinsenduin voegt zes plot-jaarrijen voor 2023 toe; de afzonderlijke voortzetting in Prinsenduin één voor M17a in 2024. Maatregel 22h voegt twaalf scoperegels voor zes kavels in 2016 en 2017 toe; voor 2018–2021 blijft de jaarstatus</w:t>
      </w:r>
      <w:r>
        <w:t xml:space="preserve"> </w:t>
      </w:r>
      <w:r>
        <w:rPr>
          <w:rStyle w:val="VerbatimChar"/>
        </w:rPr>
        <w:t xml:space="preserve">onbekend</w:t>
      </w:r>
      <w:r>
        <w:t xml:space="preserve"> </w:t>
      </w:r>
      <w:r>
        <w:t xml:space="preserve">en ontstaan geen plot-jaarrijen. Het PIM-leidingwerk voegt zeven scoperegels voor 2018 toe. De PIM-winputten voegen 22 scoperegels voor 2018 toe; het programmatotaal van bijna 700 putten is niet per kavel verdeeld. Het nabeheer van de kerfzone voegt vier scoperegels toe: M16 en M17a in 2016 en 2024. De aanleg van de vijf kerven voegt zes gezamenlijke scoperegels toe: M15, M16 en M17a in 2014 en 2015; het totaal van 109.434 m² is niet per kavel of jaar verdeeld. De programmabrede pannenmaatregel voegt vier scoperegels voor M6, M7, M13 en M77 in 2018 toe. De programmabrede plagwerkzaamheden voegen acht scoperegels voor M10-12-76, M12a, M15, M16, M71, M73, M74 en M75 in 2018 toe. Infiltratieplas 27.2 voegt voor M77 één regel in 2013 en één in 2014 toe. De overige eerder vastgelegde koppelingen en jaarselecties blijven inhoudelijk ongewijzigd. Voor beide doorlopende begrazingsmaatregelen met een expliciet startjaar bewaart deze view alleen dat startjaar; de open einddatum en</w:t>
      </w:r>
      <w:r>
        <w:t xml:space="preserve"> </w:t>
      </w:r>
      <w:r>
        <w:rPr>
          <w:rStyle w:val="VerbatimChar"/>
        </w:rPr>
        <w:t xml:space="preserve">cycliciteit='doorlopend tot heden'</w:t>
      </w:r>
      <w:r>
        <w:t xml:space="preserve"> </w:t>
      </w:r>
      <w:r>
        <w:t xml:space="preserve">leggen de voortzetting tot en met 2026 vast zonder tussenliggende jaren als afzonderlijke bronbeweringen te construeren. De twee Bendel-jaarregels blijven buiten deze view omdat beide Bendel-uitvoeringen expliciet buiten het Meijendel-plotgebied vallen.</w:t>
      </w:r>
    </w:p>
    <w:p>
      <w:pPr>
        <w:pStyle w:val="BodyText"/>
      </w:pPr>
      <w:r>
        <w:t>Gebruik en grens. De laag is geschikt om vast te leggen wat volgens welke bron is gepland, uitgevoerd, niet uitgevoerd of onbekend. De bronvaste plot-jaarlaag kan nu beschrijvend naast vogelgegevens voor de expliciet benoemde kavels worden gelegd. Een kavelvermelding bewijst niet dat de maatregel ieder deel van de kavel raakte; een samenhang met vogelontwikkeling is geen causaal beheereffect. De 144 oorspronkelijke begrazingsregistraties voor 16 plots uit 1991–1999 zijn geïntegreerd: 139 aanvullende feiten en vijf verwijzingen naar reeds bestaande feiten. De oorspronkelijke 144 regels blijven voor audit reconstrueerbaar; de fysieke tabel en gelijknamige view zijn verwijderd. Zie de migratieverantwoording onderaan dit register.</w:t>
      </w:r>
    </w:p>
    <w:p>
      <w:pPr>
        <w:pStyle w:val="BodyText"/>
      </w:pPr>
      <w:r>
        <w:t>Status. Bronvast op project-, uitvoering- en jaarniveau voor 43 inhoudelijke bronnen en 64 uitvoeringen. Daarnaast is één administratieve migratiebron toegevoegd; maatregel_bron bevat 44 regels. De algemene kavel- en gebiedsindeling is geometrisch beschikbaar voor de 55 actuele plots uit 2025; vijf expliciet gekoppelde historische kavels hebben geen afzonderlijke geometrie. De bronvaste plot-jaarlaag bevat 307 regels voor 1967–1969, 1972–1975, 1988–1991, 1993, 1997, 2002, 2005–2006 en 2013–2025. Het onderzochte PAS-maaibeheer 23 levert geen plot-jaarrijen op, omdat de vier jaarregels 2016–2019 niet_uitgevoerd zijn en de view alleen uitgevoerde jaren opneemt. maatregel_plot_koppeling bevat 211 relaties. Helmduinen heeft er twee; Meeuwenduin en Prinsenduin samen zeven; maatregel 22h zes; de begrazing van Vallei Meijendel negen; maatregel 3c dertien; maatregel 3d vijf; de slagboomvervanging twee; het onderzochte PAS-maaibeheer 23 tien; het maaibeheer in Ruygenhoek, Lange Strook en De Loopert vijf; het PIM-leidingwerk zeven; de PIM-winputten 22; het nabeheer van de kerfzone twee; de aanleg van de vijf kerven drie; de programmabrede pannenmaatregel vier; de programmabrede plagwerkzaamheden acht; infiltratieplas 27.2 één. Vier uitvoeringen hebben geen directe plotkoppeling. De twee Bendel-uitvoeringen en de begrazing van landgoed Weiduin vallen aantoonbaar buiten het Meijendel-plotgebied, zodat nog één geheel ongekoppelde uitvoering ruimtelijk moet worden beoordeeld.</w:t>
      </w:r>
    </w:p>
    <w:p>
      <w:pPr>
        <w:pStyle w:val="BodyText"/>
      </w:pPr>
      <w:r>
        <w:t>Actualisering 17 oktober 2026 — voorgenomen natuurherstelvlak binnen het noordelijke deel van Helmduinen. Eén aangeleverde uitnodiging van Jasper Wester (Dunea), met één kaartvlak en de nadere plaatsduiding van Ton, is als planbron vastgelegd. De kaart omvat slechts een vlak binnen Helmduinen Noord. Zij begrenst niet het gehele noordelijke deel of heel Helmduinen. De uitnodiging noemt een werkbezoek op 20 oktober 2026; dit is geen uitvoeringsdatum. De verzenddatum van de uitnodiging, de opnamedatum van de kaart en de uitvoeringsperiode zijn niet vastgesteld.</w:t>
      </w:r>
    </w:p>
    <w:p>
      <w:pPr>
        <w:pStyle w:val="BodyText"/>
      </w:pPr>
      <w:r>
        <w:t>De drie aangekondigde maatregelen zijn afzonderlijk geregistreerd: ondiep afplaggen voor vochtige duinvalleien; terugdringen van bosopslag en verstruweling voor grijze duinen en vochtige duinvalleien; reactiveren van oude, vastgelegde stuifkuilen. Alle drie hebben status gepland. Dezelfde benaderde contour is driemaal opgeslagen als TG02_plangebied, één keer per maatregel. Dit betreft één gedeeld planvlak van circa 12 hectare, geen drie afzonderlijke vlakken of gerealiseerde oppervlakten. Er zijn nul TG03-uitvoeringsgeometrieën voor dit project. De verdeling van de maatregelen binnen het vlak, plagdiepte, uitvoeringsdatums en gerealiseerde hoeveelheden zijn niet gegeven en blijven leeg.</w:t>
      </w:r>
    </w:p>
    <w:p>
      <w:pPr>
        <w:pStyle w:val="BodyText"/>
      </w:pPr>
      <w:r>
        <w:t>De benaderde contour is afgeleid van de aangeleverde PNG met PDOK-luchtfoto 2024 en getoetst aan de 55 lokale SOVON-kavelpolygonen uit 2025. Het indicatieve centrum ligt op RD 83.605 / 463.497, circa 52,1550 N / 4,3439 O. Het vlak ligt nagenoeg in M13s; de kleine berekende overlap bij M77 is niet robuust tegen kaartpassingsfouten. De drie relaties met M13s hebben daarom status te_beoordelen en geen doorsnijdingspercentage. M77 is niet als maatregelkavel toegevoegd. De contour is geen nauwkeurige uitvoeringsgrens of naamgebiedsgrens.</w:t>
      </w:r>
    </w:p>
    <w:p>
      <w:pPr>
        <w:pStyle w:val="BodyText"/>
      </w:pPr>
      <w:r>
        <w:t>De lokale maatregelenlaag bevat na deze invoer op 17 oktober 2026 22 projecten, 53 bronnen, 90 maatregelregistraties, 129 bronkoppelingen, 259 kavelrelaties en drie benaderde TG02-plangeometrieën. De bestaande 132 jaarbeoordelingen en 357 regels in v_plot_jaar_maatregel_bronvast zijn exact behouden. De drie nieuwe plannen voegen nul uitvoeringsjaren en nul feitelijke plot-jaarregels toe. Bronbewijs, oorspronkelijke afbeelding en afgeleide contour staan in docs/bronnen/namen/helmduinen_noord_20261017/. De herhaalbare invoer staat in gis/database/nameninventaris_helmduinen_noord_20261017.sql.</w:t>
      </w:r>
    </w:p>
    <w:p>
      <w:pPr>
        <w:pStyle w:val="Heading2"/>
      </w:pPr>
      <w:bookmarkStart w:id="55" w:name="_3b532014da7425692b0b753bfd67f02e729afe2"/>
      <w:r>
        <w:t xml:space="preserve">2. Bronnen in MySQL-database</w:t>
      </w:r>
      <w:r>
        <w:t xml:space="preserve"> </w:t>
      </w:r>
      <w:r>
        <w:rPr>
          <w:rStyle w:val="VerbatimChar"/>
        </w:rPr>
        <w:t xml:space="preserve">Meijendel_bronnen</w:t>
      </w:r>
      <w:bookmarkEnd w:id="55"/>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p>
      <w:pPr>
        <w:pStyle w:val="Heading3"/>
      </w:pPr>
      <w:bookmarkStart w:id="56" w:name="_duinvalleivegetatie"/>
      <w:r>
        <w:t xml:space="preserve">2.1. Duinvalleivegetatie</w:t>
      </w:r>
      <w:bookmarkEnd w:id="56"/>
    </w:p>
    <w:p>
      <w:pPr>
        <w:pStyle w:val="FirstParagraph"/>
      </w:pPr>
      <w:r>
        <w:rPr>
          <w:b/>
          <w:bCs/>
        </w:rPr>
        <w:t xml:space="preserve">Beheerder.</w:t>
      </w:r>
      <w:r>
        <w:t xml:space="preserve"> </w:t>
      </w:r>
      <w:r>
        <w:t xml:space="preserve">Openbare onderzoeksdataset,</w:t>
      </w:r>
      <w:r>
        <w:t xml:space="preserve"> </w:t>
      </w:r>
      <w:hyperlink r:id="rId57">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p>
      <w:pPr>
        <w:pStyle w:val="Heading3"/>
      </w:pPr>
      <w:bookmarkStart w:id="58" w:name="_b3fe4556564befcfb8496c13829480f8568428d"/>
      <w:r>
        <w:t xml:space="preserve">2.2. Vogelstand 1924</w:t>
      </w:r>
      <w:bookmarkEnd w:id="58"/>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 Het productieoverzicht van 28 september 2026 toont daarnaast een bestaande tabel</w:t>
      </w:r>
      <w:r>
        <w:t xml:space="preserve"> </w:t>
      </w:r>
      <w:r>
        <w:rPr>
          <w:rStyle w:val="VerbatimChar"/>
        </w:rPr>
        <w:t xml:space="preserve">vogelstand_1924</w:t>
      </w:r>
      <w:r>
        <w:t xml:space="preserve"> </w:t>
      </w:r>
      <w:r>
        <w:t xml:space="preserve">buiten de canonieke export. Deze blijft tijdens de PQ-publicatie onaangetast; haar aanwezigheid geeft geen nieuwe analysetoestemming. Dit schema-overzicht bewijst de tabelnaam en het type, niet haar actuele rijtelling.</w:t>
      </w:r>
    </w:p>
    <w:p>
      <w:pPr>
        <w:pStyle w:val="Heading3"/>
      </w:pPr>
      <w:bookmarkStart w:id="59" w:name="_jachtspinnen"/>
      <w:r>
        <w:t xml:space="preserve">2.3. Jachtspinnen</w:t>
      </w:r>
      <w:bookmarkEnd w:id="59"/>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p>
      <w:pPr>
        <w:pStyle w:val="Heading3"/>
      </w:pPr>
      <w:bookmarkStart w:id="60" w:name="_literatuuroverzicht"/>
      <w:r>
        <w:t xml:space="preserve">2.4. Literatuuroverzicht</w:t>
      </w:r>
      <w:bookmarkEnd w:id="60"/>
    </w:p>
    <w:p>
      <w:pPr>
        <w:pStyle w:val="FirstParagraph"/>
      </w:pPr>
      <w:r>
        <w:rPr>
          <w:b/>
          <w:bCs/>
        </w:rPr>
        <w:t xml:space="preserve">Beheerder.</w:t>
      </w:r>
      <w:r>
        <w:t xml:space="preserve"> </w:t>
      </w:r>
      <w:r>
        <w:t xml:space="preserve">Zotero-collectie Meijendel</w:t>
      </w:r>
    </w:p>
    <w:p>
      <w:pPr>
        <w:pStyle w:val="BodyText"/>
      </w:pPr>
      <w:r>
        <w:rPr>
          <w:b/>
          <w:bCs/>
        </w:rPr>
      </w:r>
      <w:r/>
      <w:r/>
      <w:r>
        <w:rPr>
          <w:b/>
        </w:rPr>
        <w:t>Omvang en periode.</w:t>
      </w:r>
      <w:r>
        <w:t xml:space="preserve"> Het gepubliceerde literatuuroverzicht bevatte 522 bibliografische verwijzingen op 25 september 2026. De lokale Zotero-collectie Meijendel bevat op 17 oktober 2026 469 zelfstandige bibliografische items. Dat zijn verschillende selecties; de actuele Zotero-telling vervangt de vastgelegde publicatiestand niet.</w:t>
      </w:r>
    </w:p>
    <w:p>
      <w:pPr>
        <w:pStyle w:val="BodyText"/>
      </w:pPr>
      <w:r>
        <w:t>Op 17 oktober 2026 zijn de 29 nog niet aanwezige resultaten uit de selectie van 50 Consensus-resultaten als zelfstandige parent-items toegevoegd aan Zotero-collectie Meijendel. De 29 publicaties beslaan na broncontrole 1926–2023; 18 items hebben een DOI. De lokale collectie groeide hierbij van 437 naar 466 bibliografische items. Alle 29 items hebben een bronnotitie met herkomst en eventuele metadata-afwijkingen. Vijf resultaten hebben een volledige PDF-tekst: Schierbeek (1926), Blankwaardt (1965), Wesselingh et al. (1997), Beunen et al. (2004) en het complete congresabstract van De Bonte en Boosten (1996). Bij Vliegenthart et al. (definitieve jaargang 2023) zijn daarnaast een aanvullend PDF-bestand en een XLSX-gegevenstabel gekoppeld; die zijn niet de volledige artikeltekst. Voor de overige 24 resultaten is de volledige publicatie niet verkregen via de gecontroleerde routes. De zeven nieuwe bestandsbijlagen staan als gekoppelde bestanden op de T7 onder /Volumes/T7 Data/Zotero/files; dit is de op 17 oktober 2026 door Ton bevestigde vaste opslagafspraak.</w:t>
      </w:r>
    </w:p>
    <w:p>
      <w:pPr>
        <w:pStyle w:val="BodyText"/>
      </w:pPr>
      <w:r>
        <w:t>De oorspronkelijke Consensus-lijst bevatte onder meer een foutief jaar en ontbrekende auteurs bij het begrazingsabstract: de gedrukte tekst is uit december 1996, niet uit 2018. Bij het recreatierapport deel XIV uit 2003 wijkt de auteurslijst in Consensus af van de WUR-catalogus; de WUR-gegevens zijn overgenomen en het verschil blijft zichtbaar in de bronnotitie. Deze uitbreiding betreft uitsluitend lokale literatuurregistratie. De databases Meijendel en Meijendel_bronnen, de analysetoelating en de VPS-publicatiestand zijn in deze taak niet gewijzigd.</w:t>
      </w:r>
    </w:p>
    <w:p>
      <w:pPr/>
      <w:r>
        <w:t>Later op 17 oktober 2026 zijn drie ontbrekende artikelen uit de vierdelige Consensus-selectie over vlinders toegevoegd: Prins et al. (Crossref-jaar 1990, literatuurjaar 1991 nog niet aan de originele druk bevestigd; H6PWHC7Y), Wei et al. (2017; HW6A3JW8) en WallisDeVries en Raemakers (2001; WULG249S). Macel en Klinkhamer (2010; D8ISPYXE) was al aanwezig en is ongewijzigd gebleven. De lokale collectie groeide van 466 naar 469 bibliografische items. Alle drie nieuwe items hebben een DOI en bronnotitie. Voor deze vier artikelen zijn geen volledige teksten of supplementen verkregen; uitgevers- en auteursdownloads waren niet toegankelijk. Er zijn daarom in deze vervolgstap geen bestandsbijlagen op de T7 toegevoegd. Meijendel-deelname aan de begrazingsstudie uit 2001 is bevestigd via de zes route-identificaties in tabel 1 en het Meijendel-routeoverzicht in Holland’s Duinen 66, p. 10; de studie betreft 1992–1996. Dit verandert de analysetoelating en de lokale of gepubliceerde databases niet.</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p>
      <w:pPr>
        <w:pStyle w:val="Heading3"/>
      </w:pPr>
      <w:bookmarkStart w:id="61" w:name="_c459e94267866b3631cced111f8a87d0309b41a"/>
      <w:r>
        <w:t xml:space="preserve">2.5. Bijenmonitoring in vier beheergebieden</w:t>
      </w:r>
      <w:bookmarkEnd w:id="61"/>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p>
      <w:pPr>
        <w:pStyle w:val="Heading3"/>
      </w:pPr>
      <w:bookmarkStart w:id="62" w:name="_3de3a6968c8894ad5b666eb1a40d580f2cd5807"/>
      <w:r>
        <w:t xml:space="preserve">2.6. Aquatische macrofauna 1974–1975</w:t>
      </w:r>
      <w:bookmarkEnd w:id="62"/>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p>
      <w:pPr>
        <w:pStyle w:val="Heading2"/>
      </w:pPr>
      <w:bookmarkStart w:id="63" w:name="_ae67a70ad36e2d1d11a7d910c2e5a6d669a3a5f"/>
      <w:r>
        <w:t xml:space="preserve">3. Geïdentificeerde externe kandidaatbronnen</w:t>
      </w:r>
      <w:bookmarkEnd w:id="63"/>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p>
      <w:pPr>
        <w:pStyle w:val="Heading3"/>
      </w:pPr>
      <w:bookmarkStart w:id="64" w:name="_d53aceb4d9e4863cdbb6367737be5e291cdac65"/>
      <w:r>
        <w:t xml:space="preserve">Kandidaten met de grootste verwachte aanvulling</w:t>
      </w:r>
      <w:bookmarkEnd w:id="64"/>
    </w:p>
    <w:p>
      <w:pPr>
        <w:pStyle w:val="Heading4"/>
      </w:pPr>
      <w:bookmarkStart w:id="65" w:name="_74b9659b0fdf809bf79d99a5b829eae72be789d"/>
      <w:r>
        <w:t xml:space="preserve">3.1. Historische en actuele ringgegevens</w:t>
      </w:r>
      <w:bookmarkEnd w:id="65"/>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p>
      <w:pPr>
        <w:pStyle w:val="Heading4"/>
      </w:pPr>
      <w:bookmarkStart w:id="66" w:name="_78976b2620bc79a80ca8146881cbd2c6e6ff990"/>
      <w:r>
        <w:t xml:space="preserve">3.2. Erosiepinnen in een stuifkuilcomplex</w:t>
      </w:r>
      <w:bookmarkEnd w:id="66"/>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p>
      <w:pPr>
        <w:pStyle w:val="Heading4"/>
      </w:pPr>
      <w:bookmarkStart w:id="67" w:name="_0e60eab001b7dad7f07f0f30fba1e4c43b4fb6d"/>
      <w:r>
        <w:t xml:space="preserve">3.3. Langjarige droge-duinvegetatieplots</w:t>
      </w:r>
      <w:bookmarkEnd w:id="67"/>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p>
      <w:pPr>
        <w:pStyle w:val="Heading4"/>
      </w:pPr>
      <w:bookmarkStart w:id="69" w:name="_f31d7749b8f822cf46569bbbcf696a184226376"/>
      <w:r>
        <w:t xml:space="preserve">3.4.</w:t>
      </w:r>
      <w:r>
        <w:t xml:space="preserve"> </w:t>
      </w:r>
      <w:hyperlink r:id="rId68">
        <w:r>
          <w:rPr>
            <w:rStyle w:val="Hyperlink"/>
          </w:rPr>
          <w:t xml:space="preserve">Neuropteren van Meijendel</w:t>
        </w:r>
      </w:hyperlink>
      <w:bookmarkEnd w:id="69"/>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p>
      <w:pPr>
        <w:pStyle w:val="Heading4"/>
      </w:pPr>
      <w:bookmarkStart w:id="71" w:name="_2470413ff36fadda6aaee753e44801bf1df918f"/>
      <w:r>
        <w:t xml:space="preserve">3.5.</w:t>
      </w:r>
      <w:r>
        <w:t xml:space="preserve"> </w:t>
      </w:r>
      <w:hyperlink r:id="rId70">
        <w:r>
          <w:rPr>
            <w:rStyle w:val="Hyperlink"/>
          </w:rPr>
          <w:t xml:space="preserve">Zweefvliegen van Meijendel</w:t>
        </w:r>
      </w:hyperlink>
      <w:bookmarkEnd w:id="71"/>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p>
      <w:pPr>
        <w:pStyle w:val="Heading4"/>
      </w:pPr>
      <w:bookmarkStart w:id="72" w:name="_17333f70ef292f70875eaae009d7701e7337d63"/>
      <w:r>
        <w:t xml:space="preserve">3.6. TERRA-Dunes plant- en bodemmicrobiomen</w:t>
      </w:r>
      <w:bookmarkEnd w:id="72"/>
    </w:p>
    <w:p>
      <w:pPr>
        <w:pStyle w:val="FirstParagraph"/>
      </w:pPr>
      <w:r>
        <w:rPr>
          <w:b/>
          <w:bCs/>
        </w:rPr>
        <w:t xml:space="preserve">Eigenaar of uitgever.</w:t>
      </w:r>
      <w:r>
        <w:t xml:space="preserve"> </w:t>
      </w:r>
      <w:r>
        <w:t xml:space="preserve">Onderzoeksteam TERRA-Dunes,</w:t>
      </w:r>
      <w:r>
        <w:t xml:space="preserve"> </w:t>
      </w:r>
      <w:hyperlink r:id="rId73">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p>
      <w:pPr>
        <w:pStyle w:val="Heading4"/>
      </w:pPr>
      <w:bookmarkStart w:id="74" w:name="_40b4b5f78cd8ca95bb70f0f0c78c7e4fbf296ca"/>
      <w:r>
        <w:t xml:space="preserve">3.7. Rups- en bodemmicrobiomen</w:t>
      </w:r>
      <w:bookmarkEnd w:id="74"/>
    </w:p>
    <w:p>
      <w:pPr>
        <w:pStyle w:val="FirstParagraph"/>
      </w:pPr>
      <w:r>
        <w:rPr>
          <w:b/>
          <w:bCs/>
        </w:rPr>
        <w:t xml:space="preserve">Eigenaar of uitgever.</w:t>
      </w:r>
      <w:r>
        <w:t xml:space="preserve"> </w:t>
      </w:r>
      <w:r>
        <w:t xml:space="preserve">Onderzoeksteam,</w:t>
      </w:r>
      <w:r>
        <w:t xml:space="preserve"> </w:t>
      </w:r>
      <w:hyperlink r:id="rId75">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p>
      <w:pPr>
        <w:pStyle w:val="Heading4"/>
      </w:pPr>
      <w:bookmarkStart w:id="76" w:name="_1ba4dd18d3453a5dd5138bb384a5f14f39849e8"/>
      <w:r>
        <w:t xml:space="preserve">3.8. Schimmels bij kruipwilg</w:t>
      </w:r>
      <w:bookmarkEnd w:id="76"/>
    </w:p>
    <w:p>
      <w:pPr>
        <w:pStyle w:val="FirstParagraph"/>
      </w:pPr>
      <w:r>
        <w:rPr>
          <w:b/>
          <w:bCs/>
        </w:rPr>
        <w:t xml:space="preserve">Eigenaar of uitgever.</w:t>
      </w:r>
      <w:r>
        <w:t xml:space="preserve"> </w:t>
      </w:r>
      <w:r>
        <w:t xml:space="preserve">Onderzoeksteam,</w:t>
      </w:r>
      <w:r>
        <w:t xml:space="preserve"> </w:t>
      </w:r>
      <w:hyperlink r:id="rId77">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p>
      <w:pPr>
        <w:pStyle w:val="Heading4"/>
      </w:pPr>
      <w:bookmarkStart w:id="78" w:name="_374ab00ebf692a8e3319839c9c7bfae940c399a"/>
      <w:r>
        <w:t xml:space="preserve">3.9. Plantengroei, bodemvocht en weer</w:t>
      </w:r>
      <w:bookmarkEnd w:id="78"/>
    </w:p>
    <w:p>
      <w:pPr>
        <w:pStyle w:val="FirstParagraph"/>
      </w:pPr>
      <w:r>
        <w:rPr>
          <w:b/>
          <w:bCs/>
        </w:rPr>
        <w:t xml:space="preserve">Eigenaar of uitgever.</w:t>
      </w:r>
      <w:r>
        <w:t xml:space="preserve"> </w:t>
      </w:r>
      <w:r>
        <w:t xml:space="preserve">Wageningen University &amp; Research,</w:t>
      </w:r>
      <w:r>
        <w:t xml:space="preserve"> </w:t>
      </w:r>
      <w:hyperlink r:id="rId79">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p>
      <w:pPr>
        <w:pStyle w:val="Heading4"/>
      </w:pPr>
      <w:bookmarkStart w:id="80" w:name="_936150612b1bf240012fee005a20984db1c7c99"/>
      <w:r>
        <w:t xml:space="preserve">3.10. Genetische datasets amfibieën</w:t>
      </w:r>
      <w:bookmarkEnd w:id="80"/>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p>
      <w:pPr>
        <w:pStyle w:val="Heading3"/>
      </w:pPr>
      <w:bookmarkStart w:id="81" w:name="_8c2748f02893018608c8a38a1054acf3030739d"/>
      <w:r>
        <w:t xml:space="preserve">3.11. Alleen context of nog een onderzoeksaanwijzing</w:t>
      </w:r>
      <w:bookmarkEnd w:id="81"/>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 voor 2008 en 2014; TU Delft beschreef elf beeldmomenten uit 2019–2021. De afgeleide rasterbestanden zijn nog niet als openbare dataset gevonden.</w:t>
      </w:r>
    </w:p>
    <w:p>
      <w:pPr>
        <w:pStyle w:val="BodyText"/>
      </w:pPr>
      <w:hyperlink r:id="rId82">
        <w:r>
          <w:rPr>
            <w:rStyle w:val="Hyperlink"/>
            <w:b/>
            <w:bCs/>
          </w:rPr>
          <w:t xml:space="preserve">Landbedekking in vogelplots</w:t>
        </w:r>
      </w:hyperlink>
      <w:r>
        <w:rPr>
          <w:b/>
          <w:bCs/>
        </w:rPr>
        <w:t xml:space="preserve">:</w:t>
      </w:r>
      <w:r>
        <w:t xml:space="preserve"> </w:t>
      </w:r>
      <w:r>
        <w:t xml:space="preserve">de openbare studie van Schmidt-Tauscher, Häger en Van der Hagen uit 2025 behandelt 25 BMP-plots met samen 925 hectare. Het openbare supplement bevat inmiddels de volledige tabel met de oppervlakte van zeven landbedekkingsklassen per plot in 2001 en 2022: struweel, bos, boomgroepen, lage vegetatie, riet, kaal zand en water. De vogelgegevens overlappen met de bestaande VWG/SOVON-reeks. De plot-tabel voegt wel een ecologisch specifiekere verklarende laag toe dan de reeds aanwezige CBS-landgebruikgegevens voor 55 plots in 1996, 2010, 2015, 2017 en 2022. De classificatie is afgeleid uit luchtfoto’s, teruggebracht tot pixels van 5 bij 5 meter en had een totale nauwkeurigheid van 81% in 2001 en 82% in 2022. De geclassificeerde rasters zelf zitten niet in het openbare supplement; de auteurs vermelden dat de gebruikte en gemaakte datasets op verzoek verkrijgbaar zijn. Met die rasters kunnen ook ruimtelijke samenhang, versnippering, randen en het vegetatiemozaïek binnen plots worden onderzocht. Het blijven twee momentopnamen binnen 25 van de 55 plots; zij meten geen jaarlijkse ontwikkeling, voedsel, nestgelegenheid of andere 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p>
      <w:pPr>
        <w:pStyle w:val="Heading3"/>
      </w:pPr>
      <w:bookmarkStart w:id="83" w:name="_41253e96e2b1ec8824f9b84bf0a06f4f5ff5fba"/>
      <w:r>
        <w:t xml:space="preserve">3.12. Geografische namen en historische paden</w:t>
      </w:r>
      <w:bookmarkEnd w:id="83"/>
    </w:p>
    <w:p>
      <w:pPr>
        <w:pStyle w:val="FirstParagraph"/>
      </w:pPr>
      <w:r>
        <w:t xml:space="preserve">Op 14 oktober 2026 is een afzonderlijke GIS-levering samengesteld uit acht geraadpleegde bronverzamelingen: Beekman 2021, Van Leeuwen en Jungerius 1992, Neefjes 2010, Van der Meijden 2012, BRT TOP10NL, een lokale OpenStreetMap-export en twee Dunea-bronnen. Versie</w:t>
      </w:r>
      <w:r>
        <w:t xml:space="preserve"> </w:t>
      </w:r>
      <w:r>
        <w:rPr>
          <w:rStyle w:val="VerbatimChar"/>
        </w:rPr>
        <w:t xml:space="preserve">meijendel_nameninventaris_2026-10-14</w:t>
      </w:r>
      <w:r>
        <w:t xml:space="preserve"> </w:t>
      </w:r>
      <w:r>
        <w:t xml:space="preserve">is in de levende lokale database</w:t>
      </w:r>
      <w:r>
        <w:t xml:space="preserve"> </w:t>
      </w:r>
      <w:r>
        <w:rPr>
          <w:rStyle w:val="VerbatimChar"/>
        </w:rPr>
        <w:t xml:space="preserve">Meijendel</w:t>
      </w:r>
      <w:r>
        <w:t xml:space="preserve"> </w:t>
      </w:r>
      <w:r>
        <w:t xml:space="preserve">geïmporteerd. Zij bevat 182 onderscheiden pad-, route- en gebiedsnaamobjecten en 299 gedateerde vermeldingen uit 1602–2026. Voor 71 objecten is een brongeometrie beschikbaar; 111 objecten hebben bewust geen geometrie omdat de geraadpleegde kaart- of coördinaatgrondslag daarvoor onvoldoende is.</w:t>
      </w:r>
    </w:p>
    <w:p>
      <w:pPr>
        <w:pStyle w:val="BodyText"/>
      </w:pPr>
      <w:r>
        <w:t xml:space="preserve">De actuele ruimtelijke selectie bevat 35 TOP10NL-geografische features en 12 TOP10NL-functionele features die de ruime projectgrens raken, plus 60 benoemde OpenStreetMap-lijnsegmenten die tot 25 pad- en wegnamen binnen de lokale Natura 2000-geometrie zijn gegroepeerd. TOP10NL is de actuele officiële kaartbron; de objectactualiteit van de 47 geselecteerde features verschilt per object. De OpenStreetMap-export is een communitybron met bestandsdatum 3 april 2026 en geldt niet als officiële naamvaststelling.</w:t>
      </w:r>
    </w:p>
    <w:p>
      <w:pPr>
        <w:pStyle w:val="BodyText"/>
      </w:pPr>
      <w:r>
        <w:t xml:space="preserve">De 71 naamgeometrieën zijn vergeleken met alle 55 actuele SOVON-kavelpolygonen uit versie</w:t>
      </w:r>
      <w:r>
        <w:t xml:space="preserve"> </w:t>
      </w:r>
      <w:r>
        <w:rPr>
          <w:rStyle w:val="VerbatimChar"/>
        </w:rPr>
        <w:t xml:space="preserve">sovon-avimap-2025-download-2026-10-02</w:t>
      </w:r>
      <w:r>
        <w:t xml:space="preserve">. Dit levert 377 geometrische naam–kavelrelaties voor 66 naamobjecten op. De analyseview</w:t>
      </w:r>
      <w:r>
        <w:t xml:space="preserve"> </w:t>
      </w:r>
      <w:r>
        <w:rPr>
          <w:rStyle w:val="VerbatimChar"/>
        </w:rPr>
        <w:t xml:space="preserve">v_nameninventaris_plot_actueel</w:t>
      </w:r>
      <w:r>
        <w:t xml:space="preserve"> </w:t>
      </w:r>
      <w:r>
        <w:t xml:space="preserve">bevat 365 relaties voor de 53 kavels binnen</w:t>
      </w:r>
      <w:r>
        <w:t xml:space="preserve"> </w:t>
      </w:r>
      <w:r>
        <w:rPr>
          <w:rStyle w:val="VerbatimChar"/>
        </w:rPr>
        <w:t xml:space="preserve">meijendel_natura2000</w:t>
      </w:r>
      <w:r>
        <w:t xml:space="preserve">; M66 en M91 blijven conform de algemene analysescope buiten deze view. De maatregelactualisering gebruikt alleen volledige, letterlijke locatienamen waarvan alle onderdelen een naamgeometrie hebben. Brede aanduidingen als Meijendel, gedeeltelijk geometriseerde samengestelde locaties en afwijkende namen worden niet automatisch gekoppeld.</w:t>
      </w:r>
    </w:p>
    <w:p>
      <w:pPr>
        <w:pStyle w:val="BodyText"/>
      </w:pPr>
      <w:r>
        <w:t xml:space="preserve">Van Leeuwen en Jungerius noemen in 1992 de proefdriehoek Klippad–Bunkerpad–Wassenaarse Slag en vermelden dat elf proefplekken in 1987 op een kaart 1:1.000 zijn ingetekend. Die kaart staat niet in het artikel. Van der Meijden bevestigt in 2012 alleen de onderlinge ligging. Bunkerpad en Klippad blijven daarom twee historische naamrecords met ontbrekend tracé. De kleinste resterende bronvraag is de oorspronkelijke 1:1.000-kaart uit 1987 bij DZH/Dunea-terreinbeheer; zonder die kaart wordt geen lijn gereconstrueerd.</w:t>
      </w:r>
    </w:p>
    <w:p>
      <w:pPr>
        <w:pStyle w:val="BodyText"/>
      </w:pPr>
      <w:r>
        <w:t>Haagse Archeologische Rapportage 1204 uit februari 2012 voegt een nieuwe ruimtelijke bron toe voor Elleboogsprang en Vinkenhoek. Afbeelding 1 op PDF-pagina 4 bevat gebiedscontouren; de rapporttekst koppelt Elleboogsprang tevens aan Sprang H. Voor de maatregelactualisering zijn de contouren met de schaalbalk en de gepubliceerde RD-kilometerhokken georeferereerd. Dat levert een robuuste kaveltoedeling op: Elleboogsprang raakt M10-12-76 en M75, Vinkenhoek ligt in M71. De bronkaart bevat echter geen geodetische controlepunten of digitale brongeometrie. Daarom is de afgeleide contour niet aan de 71 brongeometrieën van versie</w:t>
      </w:r>
      <w:r>
        <w:t xml:space="preserve"> </w:t>
      </w:r>
      <w:r>
        <w:rPr>
          <w:rStyle w:val="VerbatimChar"/>
        </w:rPr>
        <w:t>meijendel_nameninventaris_2026-10-14</w:t>
      </w:r>
      <w:r>
        <w:t xml:space="preserve"> </w:t>
      </w:r>
      <w:r>
        <w:t>toegevoegd en blijft</w:t>
      </w:r>
      <w:r>
        <w:t xml:space="preserve"> </w:t>
      </w:r>
      <w:r>
        <w:rPr>
          <w:rStyle w:val="VerbatimChar"/>
        </w:rPr>
        <w:t>maatregel_geometrie</w:t>
      </w:r>
      <w:r>
        <w:t xml:space="preserve"> </w:t>
      </w:r>
      <w:r>
        <w:t>leeg. Vinkenhoek behoudt voorlopig zijn historische naamrecord zonder brongeometrie; Elleboogsprang wordt pas als zelfstandig naamobject aan een volgende inventarisversie toegevoegd wanneer de nieuwe bronlevering versiegebonden en reproduceerbaar kan worden geïmporteerd.</w:t>
      </w:r>
    </w:p>
    <w:p>
      <w:pPr>
        <w:pStyle w:val="FirstParagraph"/>
      </w:pPr>
      <w:r>
        <w:t>Geografisch vervolgonderzoek, 16 oktober 2026. De afzonderlijke onderzoekslevering meijendel_geolocaties_2026-10-16 omvat de 136 gevraagde objecten: 99 gebieden, 12 historische paden en wandelroutes zonder geometrie en 25 reeds geometriseerde OSM-paden. De bronvermeldingen lopen van 1602 tot 2026. De 25 bestaande lijngeometrieën zijn exact behouden. De primaire OSM-API levert 17 aanvullende geometriekandidaten: vier punten en acht polygonen voor twaalf gebiedsnamen, plus vijf volledige routerelaties. Voor 94 objecten blijft de eigen geometrie leeg. Alle numerieke positionele nauwkeurigheden blijven onbekend; zij zijn niet afgeleid uit coördinaatdecimalen, topologische geldigheid of kaartschaal. Deze onderzoekslevering is nog niet in de levende database geïmporteerd; de bestaande stand van 182 objecten, 299 vermeldingen en 71 geometrieën blijft dus gelden.</w:t>
      </w:r>
    </w:p>
    <w:p>
      <w:pPr>
        <w:pStyle w:val="FirstParagraph"/>
      </w:pPr>
      <w:r>
        <w:t>Voor 1712 zijn de originele kaartbladen Schevelinge en Waelsdorp uit TU Delft OAS 726 en de geografisch geplaatste Kruikius-rasterdienst van Hoogheemraadschap Delfland geraadpleegd. Acht gedrukte naamposities zijn als afzonderlijke kaartankers vastgelegd; zij gelden niet als terreinlocaties, gebiedsgrenzen of kavelkoppelingen. De oorspronkelijke studie van Boerboom is als PDF beschikbaar via https://edepot.wur.nl/393293. De geannoteerde wandelingkaart uit 1957 en de volledige recreatiekaart uit 2007 zijn in de geraadpleegde lokale bronnen en gerichte Zotero-cataloguszoekacties niet aangetroffen. Het eerder lokaal als Neefjes-PDF opgeslagen bestand blijkt HTML. De rapporttekst is wel uit de bestaande Zotero-index gelezen; paragraaf 8.2 bevestigt dat onder meer Lijnen.shp en Zones.shp destijds zijn opgeleverd. Deze bestaande GIS-levering is nog niet verkregen en wordt niet als ontbrekende informatie bij de bron aangemerkt.</w:t>
      </w:r>
    </w:p>
    <w:p>
      <w:pPr>
        <w:pStyle w:val="FirstParagraph"/>
      </w:pPr>
      <w:r>
        <w:t>De vijf eerder onderbouwde toedelingen Helmduinen M15/M16, Kikkervalleien M13/M13s/M14, Libellenvallei M17b, Prinsenduin M17a en Ruygenhoek M32 blijven behouden. Vinkenhoek blijft gekoppeld aan M71. VWG-M onderbouwt daarnaast Hertenkamp M105 en Harstenhoek M42 als huidige terreincontext; dat bewijst geen historische of volledige naamgrens. Het gelijknamige OSM-campingveld Hertenkamp is verworpen. De vijf OSM-routerelaties blijven kandidaten met eigen bronversie: de Strandroute meet 4,54 km en komt niet overeen met de als aangepast gepubliceerde Dunea-route van 3,8 km; ook bij Reeënroute en Tapuit–Kievitsduin zijn afstands- of tagverschillen vastgelegd. De levering verandert geen bestaande naamvariant of objectidentiteit en omvat geen uitvoeringsgeometrie van beheermaatregelen.</w:t>
      </w:r>
    </w:p>
    <w:p>
      <w:pPr>
        <w:pStyle w:val="FirstParagraph"/>
      </w:pPr>
      <w:r>
        <w:t>Vervolgkaartonderzoek, 16 oktober 2026, versie 2. De verbeterlevering meijendel_databasekwaliteit_2026-10-16_v2 bevat dezelfde 136 bestaande object-ID’s en 23 aanvullende bewijsregels. De volledige oorspronkelijke Neefjes-publicatie is nu verkregen via de actuele download https://pas.ecologischeautoriteit.nl/files/ea/5004/011152-5004-cultuursporen-in-het-duin.pdf: 76 PDF-pagina’s, met de drie kaartbijlagen op pagina’s 74–76. De kopie op Duinen en Mensen telt 73 pagina’s en mist die bijlagen. De oorspronkelijke vegetatiekaarten uit 1955 zijn beschikbaar in het proefschrift van Boerboom uit 1960 (https://edepot.wur.nl/183358, laatste acht scanpagina’s). H+N+S publiceert tevens de oorspronkelijke masterplankaarten bij het project uit 2003–2004. Deze kaarten zijn geraadpleegd en versiegebonden bronbewijs is aan de onderzoekslevering toegevoegd. Pomp Kruispunt op de kaart uit 1955 is niet automatisch een grens of eerdere datering van het gelijknamige veldnaamgebied.</w:t>
      </w:r>
    </w:p>
    <w:p>
      <w:pPr>
        <w:pStyle w:val="FirstParagraph"/>
      </w:pPr>
      <w:r>
        <w:t>De officiële Dunea-nummerpaaltjeskaart Kijfhoek en Bierlap benoemt Bunkerpad en Klippad rechtstreeks. De documentmetadata noemen aanmaak op 1 april 2020 en wijziging op 22 februari 2021; een gedrukt editiejaar ontbreekt. De kaart benoemt Waterwilgenslag bij deze paden, terwijl de historische proefstudie Wassenaarse Slag als derde zijde van de driehoek noemt. Gelijkheid van de volledige historische proefdriehoek is daarmee niet bewezen. Beide padrecords hebben aanvullend kaartbewijs, maar krijgen geen ongecontroleerde lijngeometrie. Voor Wilhelminapaadje blijft bovendien een bronverschil bestaan: Neefjes noemt villa–zeereep, een primaire ingezonden correctie van voormalig bewoonster Sonja Alleblas uit 2013 noemt de garage richting Meijendel. Pannenduin op de Dunea-kaart is niet gelijkgesteld aan Paardenduin. De geannoteerde kaart uit 1957, de volledige recreatiekaart uit 2007, de proefplaatsenkaart uit 1987 en de oorspronkelijke GIS-lagen van Neefjes zijn nog niet verkregen. Dit is een toegangs-/leveringsleemte, geen bewijs dat deze stukken bij de bron niet bestaan.</w:t>
      </w:r>
    </w:p>
    <w:p>
      <w:pPr>
        <w:pStyle w:val="FirstParagraph"/>
      </w:pPr>
      <w:r>
        <w:t>OSM-vervolgcontrole op 16 oktober 2026 omvat alle 60 bronsegmenten van de 25 bestaande pad- en wegnamen. Tien way-objecten hebben een wijzigingsdatum na de exportdatum 3 april 2026; bij zes bronlijnen zijn nadien knikpunten gewijzigd. Voor zes segmenten, behorend bij zes naamobjecten, is bij bemonstering van de oude lijn met maximaal vijf meter tussenafstand een afstand boven één meter tot de actuele bronlijn gemeten. Die drempel is een signaleringsregel, geen positionele nauwkeurigheid of bewezen verplaatsing van het echte pad. Bij drie Harstenhoekweg-segmenten verschillen bestaande exportkenmerken. Alle 25 databasegeometrieën blijven exact behouden. De levering omvat 17 eerder gevonden geometriekandidaten en acht afzonderlijke kaartnaamankers; deze ronde voegt nul voldoende gecontroleerde wereldgeometrieën toe, zodat voor 94 van de 136 objecten de eigen geometrie leeg blijft. De tijdelijke import en vergelijking met de levende object-ID’s, namen en geometrieën zijn in MySQL getest, zonder blijvende tabelwijzigingen. De levende inventaris blijft 182 objecten, 299 vermeldingen en 71 geometrieën. Markdown en Word zijn samen aangevuld; de onderzoekslevering bevat beide versies.</w:t>
      </w:r>
    </w:p>
    <w:p>
      <w:pPr>
        <w:pStyle w:val="FirstParagraph"/>
      </w:pPr>
      <w:r>
        <w:t>Lokale actualisering van het namenregister en koppelcontrole, 16 oktober 2026. De levende database Meijendel bevat na verwerking van de onderzoekslevering 182 naamobjecten, 319 vermeldingen en 21 bronnen. De 299 oorspronkelijke vermeldingen uit 1602–2026 zijn behouden; twintig letterlijke bronvermeldingen zijn toegevoegd. Bij ongedateerde online kaarten is 2026 uitsluitend het raadpleegjaar, geen bewezen vroegste naamdatum, kaarteditiejaar of uitvoeringsjaar. Dertien bronrecords zijn toegevoegd en de bestaande Neefjes-verwijzing is gecorrigeerd naar het volledige oorspronkelijke rapport, zonder een dubbele bronidentiteit te maken. Voor 136 onderzochte objecten is het bewijs aangevuld. De 111 geometrieleemten hebben een nieuwe, concrete beoordeling; de 111 oorspronkelijke beoordelingen zijn als eerdere versie behouden, zodat nameninventaris_beoordeling 222 rijen bevat, waarvan 111 actueel. Alle 71 brongeometrieën, naamidentiteiten, oorspronkelijke bronperioden, bestaande kaveltoedelingen en het oorspronkelijke importmanifest zijn behouden. De verwachte aantallen in dat manifest blijven de oorspronkelijke levering van 14 oktober 2026 beschrijven. De zeventien geometriekandidaten en acht kaartnaamankers zijn niet als bewezen terreinlocaties geïmporteerd.</w:t>
      </w:r>
    </w:p>
    <w:p>
      <w:pPr>
        <w:pStyle w:val="FirstParagraph"/>
      </w:pPr>
      <w:r>
        <w:t>Na deze databaseactualisering zijn alle 377 naam–kavelrelaties opnieuw berekend tegen de 71 opgeslagen naamgeometrieën en 55 actuele kavelpolygonen uit 2025. Er zijn nul verschillen in de gekoppelde kavels, relatietypen, intersectiedimensies, naamgeometriehashes of gebruikte plotimport. De analyseview behoudt 365 relaties voor 53 kavels. Vervolgens zijn alle 211 maatregel–kavelrelaties voor zestig gekoppelde uitvoeringen getoetst aan de vastgelegde bronbesluiten, naamvarianten en analysescope. De 42 geometrische maatregelrelaties hebben een geldige naamgeometrie–kavelketen; de overige 169 relaties stemmen overeen met hun geregistreerde bron- en gebruikersbesluiten. Er zijn geen onderbouwde koppelafwijkingen gevonden en dus geen relaties toegevoegd of verwijderd. De bronvaste jaarview behoudt 307 rijen. Dit bewijst de geregistreerde scope, niet een nieuwe terreinmeting of exacte werkvoetafdruk per kavel en jaar. Helmduinen M15/M16, Prinsenduin M17a, Libellenvallei M17b en Ruygenhoek M32 blijven onderscheiden. M66 en M91 blijven buiten de standaardanalysescope; de expliciete Voorlinden-koppeling aan M91 blijft als afzonderlijk bronbesluit behouden.</w:t>
      </w:r>
    </w:p>
    <w:p>
      <w:pPr>
        <w:pStyle w:val="FirstParagraph"/>
      </w:pPr>
      <w:r>
        <w:t>De wijziging is transactioneel beproefd, volledig teruggedraaid en daarna met dezelfde inhoud definitief uitgevoerd. Een beperkte herstelback-up van de acht naamtabellen en volledige voor-/nasnapshots zijn lokaal bewaard. Alle 327 tabel- en viewdefinities en 269 triggerdefinities zijn gelijk gebleven, afgezien van de interne auto-incrementtellers. De databasebrede taxonpoort is vóór en na de wijziging geslaagd: 306 basistabellen, 128 beoordeelde routes en nul fouten. De bestaande maatregel-seedcontrole, brondekking en idempotentietest slagen in hun afzonderlijke proefdatabase. De gegevensbijwerking, controles per relatie en herstelbewijs staan in de afzonderlijke levering meijendel_databasebijwerking_2026-10-16. Er is geen volledige Meijendel.sql-export, Shiny-cachebouw of VPS-publicatie uitgevoerd.</w:t>
      </w:r>
    </w:p>
    <w:p>
      <w:pPr>
        <w:pStyle w:val="BodyText"/>
      </w:pPr>
      <w:r>
        <w:t>Naamactualisering 17 oktober 2026 — Helmduinen Noord. Ton bevestigt dat deze naam het noordelijke deel van Helmduinen aanduidt. Het aangeleverde natuurherstelvlak ligt binnen dit noordelijke deel, maar omvat niet het gehele noordelijke deel. De precieze ligging en volledige begrenzing van zowel Helmduinen als Helmduinen Noord zijn niet vastgesteld. De historische toedeling Helmduinen M15/M16 blijft eerder bronbewijs voor deelcontext; zij is geen volledige of limitatieve kaveltoedeling van het naamgebied. De planvlakcontext in M13s bewijst evenmin dat Helmduinen Noord of heel Helmduinen uitsluitend in M13s ligt.</w:t>
      </w:r>
    </w:p>
    <w:p>
      <w:pPr>
        <w:pStyle w:val="BodyText"/>
      </w:pPr>
      <w:r>
        <w:t>In de levende nameninventaris zijn één naamobject Helmduinen Noord (OBJ-E37FA22F23), één bron en twee bronvermeldingen toegevoegd, waaronder de verduidelijking bij Helmduinen (OBJ-F7B480D407). De ontvangst- en bevestigingsdatum is 17 oktober 2026; dit is geen bewezen eerste naamdatum, kaarteditiejaar of uitvoeringsdatum. Beide naamobjecten hebben een actuele beoordeling bronlacune_geometrie. De oudere beoordeling van Helmduinen is als eerdere versie behouden.</w:t>
      </w:r>
    </w:p>
    <w:p>
      <w:pPr>
        <w:pStyle w:val="BodyText"/>
      </w:pPr>
      <w:r>
        <w:t>De stand op 17 oktober 2026 is 183 naamobjecten, 321 vermeldingen uit de oorspronkelijke bronperiode 1602–2026 en de nieuwe bevestiging van 17 oktober 2026, 22 bronnen en 224 beoordelingen, waarvan 112 actueel. Alle 71 bestaande naamgeometrieën, 377 naam–kavelrelaties en 365 relaties in v_nameninventaris_plot_actueel zijn ongewijzigd. Het oorspronkelijke importmanifest blijft de levering van 14 oktober 2026 beschrijven. De benaderde natuurherstelcontour is uitsluitend als maatregelplangebied opgenomen en levert geen naamgeometrie voor Helmduinen Noord of Helmduinen. Bronverantwoording: docs/bronnen/namen/helmduinen_noord_20261017/bronverantwoording.json.</w:t>
      </w:r>
    </w:p>
    <w:p>
      <w:pPr>
        <w:pStyle w:val="Heading2"/>
      </w:pPr>
      <w:bookmarkStart w:id="84" w:name="_8e1aa2a9058c5df66a55f09f3195dc2392072ca"/>
      <w:r>
        <w:t xml:space="preserve">4. Verwachte aanvullingen</w:t>
      </w:r>
      <w:bookmarkEnd w:id="84"/>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Provincie Zuid-Holland heeft toegezegd de kaart te delen zodra zij later in 2026 beschikbaar komt. De kaart kan veranderingen in habitat helpen verklaren, maar is zelf geen soortenwaarneming.</w:t>
      </w:r>
    </w:p>
    <w:p>
      <w:pPr>
        <w:pStyle w:val="Heading2"/>
      </w:pPr>
      <w:bookmarkStart w:id="85" w:name="_bd1d36805349ef5ec39b6efd044fd20b47e23f4"/>
      <w:r>
        <w:t xml:space="preserve">5. Bronnen die niet verder worden uitgewerkt</w:t>
      </w:r>
      <w:bookmarkEnd w:id="85"/>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p>
      <w:pPr>
        <w:pStyle w:val="Heading2"/>
      </w:pPr>
      <w:bookmarkStart w:id="86" w:name="_013584c0923eee2d005d13457186cf6f9764ca0"/>
      <w:r>
        <w:t xml:space="preserve">6. Gebruik van dit register</w:t>
      </w:r>
      <w:bookmarkEnd w:id="86"/>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p>
      <w:pPr>
        <w:pStyle w:val="Heading2"/>
      </w:pPr>
      <w:bookmarkStart w:id="87" w:name="_actieplan"/>
      <w:r>
        <w:t xml:space="preserve">7. Actieplan</w:t>
      </w:r>
      <w:bookmarkEnd w:id="87"/>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p>
      <w:pPr>
        <w:pStyle w:val="Heading3"/>
      </w:pPr>
      <w:bookmarkStart w:id="88" w:name="_94b069977659593a87344faec87dcce83750292"/>
      <w:r>
        <w:t xml:space="preserve">Fase 1 — openbare, direct toetsbare bronnen</w:t>
      </w:r>
      <w:bookmarkEnd w:id="88"/>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p>
      <w:pPr>
        <w:pStyle w:val="Heading3"/>
      </w:pPr>
      <w:bookmarkStart w:id="89" w:name="_1e65d730f223a62ff579853fd3c77c9308748df"/>
      <w:r>
        <w:t xml:space="preserve">Fase 2 — reeksen met grote historische of trendwaarde</w:t>
      </w:r>
      <w:bookmarkEnd w:id="89"/>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p>
      <w:pPr>
        <w:pStyle w:val="Heading3"/>
      </w:pPr>
      <w:bookmarkStart w:id="90" w:name="_6b9d0c88ffcb5584e67daa74c9524b522af67c0"/>
      <w:r>
        <w:t xml:space="preserve">Fase 3 — reeds bekende bronhouders en contextdatasets</w:t>
      </w:r>
      <w:bookmarkEnd w:id="90"/>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p>
      <w:pPr>
        <w:pStyle w:val="Heading3"/>
      </w:pPr>
      <w:bookmarkStart w:id="91" w:name="_d490f73b19661b8ff0d346b94e527be91e989c7"/>
      <w:r>
        <w:t xml:space="preserve">Vaste werkwijze per bron</w:t>
      </w:r>
      <w:bookmarkEnd w:id="91"/>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p>
      <w:pPr>
        <w:pStyle w:val="Heading3"/>
      </w:pPr>
      <w:bookmarkStart w:id="92" w:name="_1e50ec235a164d1e043cda4cec7be66fb154af3"/>
      <w:r>
        <w:t xml:space="preserve">Dekking van de internetcontrole</w:t>
      </w:r>
      <w:bookmarkEnd w:id="92"/>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p>
      <w:pPr>
        <w:pStyle w:val="Heading2"/>
      </w:pPr>
      <w:bookmarkStart w:id="93" w:name="_5001ec8ecf742000e2504f4f268bea177f3f158"/>
      <w:r>
        <w:t xml:space="preserve">Achterliggende verantwoording</w:t>
      </w:r>
      <w:bookmarkEnd w:id="93"/>
    </w:p>
    <w:p>
      <w:pPr>
        <w:pStyle w:val="Compact"/>
        <w:numPr>
          <w:ilvl w:val="0"/>
          <w:numId w:val="1005"/>
        </w:numPr>
      </w:pPr>
      <w:hyperlink r:id="rId94">
        <w:r>
          <w:rPr>
            <w:rStyle w:val="Hyperlink"/>
          </w:rPr>
          <w:t xml:space="preserve">NDFF-staging en bronvergelijking</w:t>
        </w:r>
      </w:hyperlink>
    </w:p>
    <w:p>
      <w:pPr>
        <w:pStyle w:val="Compact"/>
        <w:numPr>
          <w:ilvl w:val="0"/>
          <w:numId w:val="1005"/>
        </w:numPr>
      </w:pPr>
      <w:hyperlink r:id="rId95">
        <w:r>
          <w:rPr>
            <w:rStyle w:val="Hyperlink"/>
          </w:rPr>
          <w:t xml:space="preserve">NDFF-protocolaudit</w:t>
        </w:r>
      </w:hyperlink>
    </w:p>
    <w:p>
      <w:pPr>
        <w:pStyle w:val="Compact"/>
        <w:numPr>
          <w:ilvl w:val="0"/>
          <w:numId w:val="1005"/>
        </w:numPr>
      </w:pPr>
      <w:hyperlink r:id="rId96">
        <w:r>
          <w:rPr>
            <w:rStyle w:val="Hyperlink"/>
          </w:rPr>
          <w:t xml:space="preserve">Scheiding tussen Meijendel en Meijendel_bronnen</w:t>
        </w:r>
      </w:hyperlink>
    </w:p>
    <w:p>
      <w:pPr>
        <w:pStyle w:val="Compact"/>
        <w:numPr>
          <w:ilvl w:val="0"/>
          <w:numId w:val="1005"/>
        </w:numPr>
      </w:pPr>
      <w:hyperlink r:id="rId97">
        <w:r>
          <w:rPr>
            <w:rStyle w:val="Hyperlink"/>
          </w:rPr>
          <w:t xml:space="preserve">Ruimtelijke audit van contextbronnen</w:t>
        </w:r>
      </w:hyperlink>
    </w:p>
    <w:p>
      <w:pPr>
        <w:pStyle w:val="Compact"/>
        <w:numPr>
          <w:ilvl w:val="0"/>
          <w:numId w:val="1005"/>
        </w:numPr>
      </w:pPr>
      <w:hyperlink r:id="rId98">
        <w:r>
          <w:rPr>
            <w:rStyle w:val="Hyperlink"/>
          </w:rPr>
          <w:t xml:space="preserve">Importbesluit duinvalleivegetatie</w:t>
        </w:r>
      </w:hyperlink>
    </w:p>
    <w:p>
      <w:pPr>
        <w:pStyle w:val="Compact"/>
        <w:numPr>
          <w:ilvl w:val="0"/>
          <w:numId w:val="1005"/>
        </w:numPr>
      </w:pPr>
      <w:hyperlink r:id="rId99">
        <w:r>
          <w:rPr>
            <w:rStyle w:val="Hyperlink"/>
          </w:rPr>
          <w:t xml:space="preserve">Ruimtelijke bronlagen en toelatingsregels</w:t>
        </w:r>
      </w:hyperlink>
    </w:p>
    <w:p>
      <w:pPr>
        <w:pStyle w:val="Compact"/>
        <w:numPr>
          <w:ilvl w:val="0"/>
          <w:numId w:val="1005"/>
        </w:numPr>
      </w:pPr>
      <w:hyperlink r:id="rId100">
        <w:r>
          <w:rPr>
            <w:rStyle w:val="Hyperlink"/>
          </w:rPr>
          <w:t xml:space="preserve">Beveiligde NDFF-ontvangst</w:t>
        </w:r>
      </w:hyperlink>
    </w:p>
    <w:p>
      <w:pPr>
        <w:pStyle w:val="Heading2"/>
      </w:pPr>
      <w:r>
        <w:t>Integratie begrazing en toegankelijkheid op 16 oktober 2026</w:t>
      </w:r>
    </w:p>
    <w:p>
      <w:r>
        <w:t>De levende lokale database is op 16 oktober 2026 omgezet. De 144 oorspronkelijke begrazingsregistraties voor 16 plots uit 1991–1999 zijn volledig behouden: 139 staan in maatregel_plot_jaar_registratie; de vijf door Ton bevestigde dubbelingen verwijzen naar bestaande uitvoering–plot–jaarfeiten. Dit zijn M15 en M16 in 1991 en M13, M13s en M14 in 1997. Deze vijf feiten worden niet opnieuw opgeslagen.</w:t>
      </w:r>
    </w:p>
    <w:p>
      <w:r>
        <w:t>De 55 toegankelijkheidsregistraties voor 55 plots in 2024 staan in maatregel_toegankelijkheid_registratie: 20 vrij, 14 beperkt, 12 afgesloten, acht deels beperkt/deels vrij en één deels afgesloten/deels vrij. De deeltabel bevatte nul regels; de twee voorbeeldregels uit de deel-CSV zijn niet geïmporteerd. Status, bronspelling, plotnaam, opmerkingen, lege waarden en NULL blijven herleidbaar. De opmerking bij M36 blijft “nog controleren”. Een gemengde status bewijst geen oppervlakteverdeling.</w:t>
      </w:r>
    </w:p>
    <w:p>
      <w:r>
        <w:t>maatregel_registratie_herkomst bevat 199 technische herkomstkoppelingen met oude sleutels, oorspronkelijke rijwaarden, hashes en precies één canoniek doel. Dit zijn auditgegevens, geen extra beheerfeiten. De 43 inhoudelijke maatregelbronnen zijn behouden; één administratieve bron voor deze migratie brengt maatregel_bron op 44 regels. Overnemen uit de handmatige registratie geeft geen nieuwe onafhankelijke bronbevestiging.</w:t>
      </w:r>
    </w:p>
    <w:p>
      <w:r>
        <w:t>De drie oude fysieke tabellen én de gelijknamige compatibiliteitsviews zijn verwijderd. Dashboard en Shiny gebruiken rechtstreeks de centrale registraties. De oorspronkelijke 144, 55 en nul regels blijven voor audit reconstrueerbaar zonder die databaseobjecten. v_plot_jaar_maatregel_bronvast behoudt de bestaande 307 regels voor expliciete jaren tussen 1967 en 2025; v_plot_jaar_maatregel_gecombineerd bevat 446 regels, inclusief de 139 aanvullende jaarfeiten. Deze laatste view mag bronregistraties niet als onafhankelijke terreinmetingen of behandeld oppervlak tellen.</w:t>
      </w:r>
    </w:p>
    <w:p>
      <w:r>
        <w:t>Dashboard en Shiny lezen rechtstreeks uit de centrale basistabellen via build_maatregel_registration_data. Parser/cacheversie is 15; de oude gegevensobjectnamen en de afhankelijkheid van compatibiliteitsviews zijn uit de actieve leesroute verwijderd. Voor analyse geldt een toegankelijkheidsstatus uitsluitend in het geregistreerde jaar; buiten 2024 blijft die voor deze 55 plots onbekend. Het dashboard mag de laatste historische registratie apart tonen met bronjaar, maar presenteert haar niet als bewezen toestand van een later jaar. Beheerjaarfeiten worden evenmin stilzwijgend doorgetrokken.</w:t>
      </w:r>
    </w:p>
    <w:p>
      <w:r>
        <w:t>Nieuwe import richt zich op de maatregelregistraties. De drie bestaande import-SQL-bestanden gebruiken alleen tijdelijke staging en schrijven niet naar de compatibiliteitsviews. De oorspronkelijke bronidentiteit blijft bij correctie behouden; identieke herimport en gewijzigde herimport zijn op fixtures getest. LOAD DATA LOCAL vereist local_infile aan client- en serverzijde; de iMac-server heeft dit uitgeschakeld. Die globale instelling is in deze taak niet veranderd. Voer de voorbeeld-CSV’s niet als actuele levering in.</w:t>
      </w:r>
    </w:p>
    <w:p>
      <w:r>
        <w:t>Controle: volledige rijreconstructie, vijf expliciete ontdubbelingen, idempotentie, herstel na onderbroken tabelwissel, SQL/R-pariteit en cache-/browser-/exportcontracten. De inhoudschecksums van alle overige basistabellen zijn vóór en na de migratie gelijk; bestaande bron- en brontyperegels blijven behouden. De centrale taxoncontrole is vóór en na de wijziging groen: alle 128 centrale routes blijven bereikbaar zonder auditfouten. De afsluitende audit is vastgelegd in de lokale herstelmap.</w:t>
      </w:r>
    </w:p>
    <w:p>
      <w:r>
        <w:t>Herstelkopie en controlebewijs staan lokaal in /Users/ton/Documents/Meijendel-herstel/2026-10-16-beheer-toegankelijkheid. Herstel verloopt via gis/scripts/migrate_maatregel_registraties.py --database Meijendel --backup-dir /Users/ton/Documents/Meijendel-herstel/2026-10-16-beheer-toegankelijkheid/backup --restore. Een herstelactie vereist een eigen besluit. Meijendel.sql, volledige cachebouw en VPS zijn in deze lokale migratiefase niet vernieuwd.</w:t>
      </w:r>
    </w:p>
    <w:p>
      <w:r>
        <w:t>Betekenistoets: uitvoering, locatie, tijd, toestand en taxonidentiteit blijven onderscheiden volgens Darwin Core (https://dwc.tdwg.org/terms/) en TDWG TCS (https://tcs.tdwg.org/terms/), geraadpleegd op 16 oktober 2026. Begrazingsdieren zijn beheereigenschappen en worden door deze migratie geen wilde soortwaarnemingen.</w:t>
      </w:r>
    </w:p>
    <w:p>
      <w:pPr>
        <w:pStyle w:val="Heading2"/>
      </w:pPr>
      <w:r>
        <w:t>Rechtstreekse aansluiting zonder compatibiliteitsviews</w:t>
      </w:r>
    </w:p>
    <w:p>
      <w:r>
        <w:t>De drie compatibiliteitsviews plot_jaar_maatregel, plot_jaar_toegankelijkheid en plot_jaar_toegankelijkheid_deel zijn op 16 oktober 2026 op verzoek van Ton verwijderd. Er zijn onder deze drie namen geen tabellen of views meer aanwezig. De fysieke registratietabellen, de 199 herkomstkoppelingen en alle overige gegevens zijn behouden.</w:t>
      </w:r>
    </w:p>
    <w:p>
      <w:r>
        <w:t>Dashboard en Shiny lezen rechtstreeks de centrale basistabellen. De 139 aanvullende begrazingsregistraties uit 1991–1999 en de vijf bestaande uitvoeringsfeiten leveren samen dezelfde 144 beheerfeiten voor 16 plots. De 55 toegankelijkheidsregistraties uit 2024 worden met niveau plot/deel gelezen; een deelregistratie wordt niet als toestand van het hele plot gebruikt. De nieuwe gegevensobjecten heten maatregel_beheer_jaar en maatregel_toegankelijkheid_registratie. Parser/cacheversie is 15.</w:t>
      </w:r>
    </w:p>
    <w:p>
      <w:r>
        <w:t>De vijf bestaande uitvoeringsfeiten worden via hun expliciete herkomstkoppeling, uitvoeringsjaar en geverifieerde plotkoppeling bereikt, zonder het oorspronkelijke JSON-rijpayload als toepassingsgegevens te reconstrueren. Oude veldnamen en bronwaarden blijven uitsluitend beschikbaar voor historische reconstructie en herstelcontrole. De 307 bronvaste en 446 gecombineerde plot-jaarregels blijven ongewijzigd; deze vervolgwijziging voegt geen waarnemingen of beheerfeiten toe.</w:t>
      </w:r>
    </w:p>
    <w:p>
      <w:r>
        <w:t>Import- en exportcontroles gebruiken eveneens de centrale tabellen en selecties. De oude classificatieherstelroute is onafhankelijk gemaakt van de verwijderde objecten. Een onderbroken migratie met achtergebleven _migratie_oud-tabellen stopt expliciet. De eerdere v1-migratie en haar oorspronkelijke herstelkopie blijven historisch controleerbaar; normale herhaling na de viewverwijdering maakt de views niet opnieuw aan.</w:t>
      </w:r>
    </w:p>
    <w:p>
      <w:r>
        <w:t>Controlebewijs en hersteldefinities staan lokaal in /Users/ton/Documents/Meijendel-herstel/2026-10-16-maatregelen-rechtstreeks. De drie viewdefinities staan in views/restore-views.sql. Dit bestand wordt uitsluitend bij een afzonderlijk besloten herstel gebruikt. De zware Meijendel.sql-export, volledige cachebouw en VPS-publicatie maken geen deel uit van deze vervolgwijziging.</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8" Type="http://schemas.openxmlformats.org/officeDocument/2006/relationships/hyperlink" Target="../gis/audit/externe_ecologie_fase1_2_manifest.json" TargetMode="External"/><Relationship Id="rId96" Type="http://schemas.openxmlformats.org/officeDocument/2006/relationships/hyperlink" Target="bronnen/MEIJENDEL_BRONNEN.md" TargetMode="External"/><Relationship Id="rId97" Type="http://schemas.openxmlformats.org/officeDocument/2006/relationships/hyperlink" Target="bronnen/audits/MEIJENDEL_BRONNEN_AUDIT.md" TargetMode="External"/><Relationship Id="rId95" Type="http://schemas.openxmlformats.org/officeDocument/2006/relationships/hyperlink" Target="bronnen/audits/NDFF_PROTOCOLAUDIT.md" TargetMode="External"/><Relationship Id="rId94" Type="http://schemas.openxmlformats.org/officeDocument/2006/relationships/hyperlink" Target="bronnen/bronvergelijkingen/NDFF_STAGINGDATASET.md" TargetMode="External"/><Relationship Id="rId98" Type="http://schemas.openxmlformats.org/officeDocument/2006/relationships/hyperlink" Target="bronnen/importbesluiten/DUINVALLEI_VEGETATIE.md" TargetMode="External"/><Relationship Id="rId99" Type="http://schemas.openxmlformats.org/officeDocument/2006/relationships/hyperlink" Target="bronnen/importbesluiten/MEIJENDEL_RUIMTELIJKE_LAGEN.md" TargetMode="External"/><Relationship Id="rId100" Type="http://schemas.openxmlformats.org/officeDocument/2006/relationships/hyperlink" Target="bronnen/importbesluiten/NDFF_SECURE_ONTVANGST.md" TargetMode="External"/><Relationship Id="rId39" Type="http://schemas.openxmlformats.org/officeDocument/2006/relationships/hyperlink" Target="database/TAXONREGISTER.md" TargetMode="External"/><Relationship Id="rId82" Type="http://schemas.openxmlformats.org/officeDocument/2006/relationships/hyperlink" Target="https://doi.org/10.1007/s10531-025-03175-x" TargetMode="External"/><Relationship Id="rId77" Type="http://schemas.openxmlformats.org/officeDocument/2006/relationships/hyperlink" Target="https://doi.org/10.1371/journal.pone.0099852" TargetMode="External"/><Relationship Id="rId18" Type="http://schemas.openxmlformats.org/officeDocument/2006/relationships/hyperlink" Target="https://doi.org/10.15468/adsbxs" TargetMode="External"/><Relationship Id="rId79" Type="http://schemas.openxmlformats.org/officeDocument/2006/relationships/hyperlink" Target="https://doi.org/10.17026/DANS-28X-UT8Q" TargetMode="External"/><Relationship Id="rId75" Type="http://schemas.openxmlformats.org/officeDocument/2006/relationships/hyperlink" Target="https://doi.org/10.5061/dryad.8cz8w9gnc" TargetMode="External"/><Relationship Id="rId57" Type="http://schemas.openxmlformats.org/officeDocument/2006/relationships/hyperlink" Target="https://doi.org/10.5281/zenodo.21796880" TargetMode="External"/><Relationship Id="rId73" Type="http://schemas.openxmlformats.org/officeDocument/2006/relationships/hyperlink" Target="https://doi.org/10.6084/m9.figshare.25425601.v1" TargetMode="External"/><Relationship Id="rId70" Type="http://schemas.openxmlformats.org/officeDocument/2006/relationships/hyperlink" Target="https://repository.naturalis.nl/pub/317221" TargetMode="External"/><Relationship Id="rId68" Type="http://schemas.openxmlformats.org/officeDocument/2006/relationships/hyperlink" Target="https://repository.naturalis.nl/pub/317242" TargetMode="External"/><Relationship Id="rId54" Type="http://schemas.openxmlformats.org/officeDocument/2006/relationships/hyperlink" Target="https://www.vwg-m.nl/meijendel/index.asp" TargetMode="External"/></Relationships>
</file>

<file path=word/_rels/footnotes.xml.rels><?xml version='1.0' encoding='UTF-8' standalone='yes'?>
<Relationships xmlns="http://schemas.openxmlformats.org/package/2006/relationships"><Relationship Id="rId38" Type="http://schemas.openxmlformats.org/officeDocument/2006/relationships/hyperlink" Target="../gis/audit/externe_ecologie_fase1_2_manifest.json" TargetMode="External"/><Relationship Id="rId96" Type="http://schemas.openxmlformats.org/officeDocument/2006/relationships/hyperlink" Target="bronnen/MEIJENDEL_BRONNEN.md" TargetMode="External"/><Relationship Id="rId97" Type="http://schemas.openxmlformats.org/officeDocument/2006/relationships/hyperlink" Target="bronnen/audits/MEIJENDEL_BRONNEN_AUDIT.md" TargetMode="External"/><Relationship Id="rId95" Type="http://schemas.openxmlformats.org/officeDocument/2006/relationships/hyperlink" Target="bronnen/audits/NDFF_PROTOCOLAUDIT.md" TargetMode="External"/><Relationship Id="rId94" Type="http://schemas.openxmlformats.org/officeDocument/2006/relationships/hyperlink" Target="bronnen/bronvergelijkingen/NDFF_STAGINGDATASET.md" TargetMode="External"/><Relationship Id="rId98" Type="http://schemas.openxmlformats.org/officeDocument/2006/relationships/hyperlink" Target="bronnen/importbesluiten/DUINVALLEI_VEGETATIE.md" TargetMode="External"/><Relationship Id="rId99" Type="http://schemas.openxmlformats.org/officeDocument/2006/relationships/hyperlink" Target="bronnen/importbesluiten/MEIJENDEL_RUIMTELIJKE_LAGEN.md" TargetMode="External"/><Relationship Id="rId100" Type="http://schemas.openxmlformats.org/officeDocument/2006/relationships/hyperlink" Target="bronnen/importbesluiten/NDFF_SECURE_ONTVANGST.md" TargetMode="External"/><Relationship Id="rId39" Type="http://schemas.openxmlformats.org/officeDocument/2006/relationships/hyperlink" Target="database/TAXONREGISTER.md" TargetMode="External"/><Relationship Id="rId82" Type="http://schemas.openxmlformats.org/officeDocument/2006/relationships/hyperlink" Target="https://doi.org/10.1007/s10531-025-03175-x" TargetMode="External"/><Relationship Id="rId77" Type="http://schemas.openxmlformats.org/officeDocument/2006/relationships/hyperlink" Target="https://doi.org/10.1371/journal.pone.0099852" TargetMode="External"/><Relationship Id="rId18" Type="http://schemas.openxmlformats.org/officeDocument/2006/relationships/hyperlink" Target="https://doi.org/10.15468/adsbxs" TargetMode="External"/><Relationship Id="rId79" Type="http://schemas.openxmlformats.org/officeDocument/2006/relationships/hyperlink" Target="https://doi.org/10.17026/DANS-28X-UT8Q" TargetMode="External"/><Relationship Id="rId75" Type="http://schemas.openxmlformats.org/officeDocument/2006/relationships/hyperlink" Target="https://doi.org/10.5061/dryad.8cz8w9gnc" TargetMode="External"/><Relationship Id="rId57" Type="http://schemas.openxmlformats.org/officeDocument/2006/relationships/hyperlink" Target="https://doi.org/10.5281/zenodo.21796880" TargetMode="External"/><Relationship Id="rId73" Type="http://schemas.openxmlformats.org/officeDocument/2006/relationships/hyperlink" Target="https://doi.org/10.6084/m9.figshare.25425601.v1" TargetMode="External"/><Relationship Id="rId70" Type="http://schemas.openxmlformats.org/officeDocument/2006/relationships/hyperlink" Target="https://repository.naturalis.nl/pub/317221" TargetMode="External"/><Relationship Id="rId68" Type="http://schemas.openxmlformats.org/officeDocument/2006/relationships/hyperlink" Target="https://repository.naturalis.nl/pub/317242" TargetMode="External"/><Relationship Id="rId54" Type="http://schemas.openxmlformats.org/officeDocument/2006/relationships/hyperlink" Target="https://www.vwg-m.nl/meijendel/index.as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2026-10-16T11:59:15Z</dcterms:created>
  <dcterms:modified xsi:type="dcterms:W3CDTF">2026-10-16T11:59:15Z</dcterms:modified>
</cp:coreProperties>
</file>

<file path=docProps/custom.xml><?xml version="1.0" encoding="utf-8"?>
<Properties xmlns="http://schemas.openxmlformats.org/officeDocument/2006/custom-properties" xmlns:vt="http://schemas.openxmlformats.org/officeDocument/2006/docPropsVTypes"/>
</file>