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160"/>
      </w:pPr>
      <w:r>
        <w:rPr>
          <w:rFonts w:ascii="Arial" w:hAnsi="Arial"/>
          <w:b/>
          <w:color w:val="245A78"/>
          <w:sz w:val="24"/>
        </w:rPr>
        <w:t>CONCEPT DATABASEONTWERP</w:t>
      </w:r>
    </w:p>
    <w:p>
      <w:pPr>
        <w:spacing w:after="160"/>
      </w:pPr>
      <w:r>
        <w:rPr>
          <w:rFonts w:ascii="Arial" w:hAnsi="Arial"/>
          <w:b/>
          <w:color w:val="183847"/>
          <w:sz w:val="50"/>
        </w:rPr>
        <w:t>Begrazingsregistratie vanaf 2026</w:t>
      </w:r>
    </w:p>
    <w:p>
      <w:pPr>
        <w:spacing w:after="480"/>
      </w:pPr>
      <w:r>
        <w:rPr>
          <w:rFonts w:ascii="Arial" w:hAnsi="Arial"/>
          <w:i/>
          <w:color w:val="55727E"/>
          <w:sz w:val="26"/>
        </w:rPr>
        <w:t>Gevalideerd en aangepast op basis van documenten uit de lokale Zotero-bibliotheek</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val="true"/>
        </w:trPr>
        <w:tc>
          <w:tcPr>
            <w:tcW w:type="dxa" w:w="2100"/>
            <w:shd w:fill="245A78"/>
            <w:tcMar>
              <w:top w:w="90" w:type="dxa"/>
              <w:start w:w="120" w:type="dxa"/>
              <w:bottom w:w="90" w:type="dxa"/>
              <w:end w:w="120" w:type="dxa"/>
            </w:tcMar>
            <w:vAlign w:val="center"/>
          </w:tcPr>
          <w:p>
            <w:pPr>
              <w:spacing w:after="0"/>
            </w:pPr>
            <w:r>
              <w:rPr>
                <w:rFonts w:ascii="Arial" w:hAnsi="Arial"/>
                <w:b/>
                <w:color w:val="FFFFFF"/>
                <w:sz w:val="19"/>
              </w:rPr>
              <w:t>Kenmerk</w:t>
            </w:r>
          </w:p>
        </w:tc>
        <w:tc>
          <w:tcPr>
            <w:tcW w:type="dxa" w:w="7260"/>
            <w:shd w:fill="245A78"/>
            <w:tcMar>
              <w:top w:w="90" w:type="dxa"/>
              <w:start w:w="120" w:type="dxa"/>
              <w:bottom w:w="90" w:type="dxa"/>
              <w:end w:w="120" w:type="dxa"/>
            </w:tcMar>
            <w:vAlign w:val="center"/>
          </w:tcPr>
          <w:p>
            <w:pPr>
              <w:spacing w:after="0"/>
            </w:pPr>
            <w:r>
              <w:rPr>
                <w:rFonts w:ascii="Arial" w:hAnsi="Arial"/>
                <w:b/>
                <w:color w:val="FFFFFF"/>
                <w:sz w:val="19"/>
              </w:rPr>
              <w:t>Invulling</w:t>
            </w:r>
          </w:p>
        </w:tc>
      </w:tr>
      <w:tr>
        <w:trPr>
          <w:cantSplit w:val="true"/>
        </w:trPr>
        <w:tc>
          <w:tcPr>
            <w:tcW w:type="dxa" w:w="2100"/>
            <w:tcMar>
              <w:top w:w="90" w:type="dxa"/>
              <w:start w:w="120" w:type="dxa"/>
              <w:bottom w:w="90" w:type="dxa"/>
              <w:end w:w="120" w:type="dxa"/>
            </w:tcMar>
            <w:vAlign w:val="center"/>
          </w:tcPr>
          <w:p>
            <w:pPr>
              <w:spacing w:after="0" w:line="240" w:lineRule="auto"/>
            </w:pPr>
            <w:r>
              <w:rPr>
                <w:rFonts w:ascii="Arial" w:hAnsi="Arial"/>
                <w:color w:val="202124"/>
                <w:sz w:val="19"/>
              </w:rPr>
              <w:t>Status</w:t>
            </w:r>
          </w:p>
        </w:tc>
        <w:tc>
          <w:tcPr>
            <w:tcW w:type="dxa" w:w="7260"/>
            <w:tcMar>
              <w:top w:w="90" w:type="dxa"/>
              <w:start w:w="120" w:type="dxa"/>
              <w:bottom w:w="90" w:type="dxa"/>
              <w:end w:w="120" w:type="dxa"/>
            </w:tcMar>
            <w:vAlign w:val="center"/>
          </w:tcPr>
          <w:p>
            <w:pPr>
              <w:spacing w:after="0" w:line="240" w:lineRule="auto"/>
            </w:pPr>
            <w:r>
              <w:rPr>
                <w:rFonts w:ascii="Arial" w:hAnsi="Arial"/>
                <w:color w:val="202124"/>
                <w:sz w:val="19"/>
              </w:rPr>
              <w:t>Eerste functioneel concept; geen SQL-DDL en geen definitief logisch of fysiek ontwerp</w:t>
            </w:r>
          </w:p>
        </w:tc>
      </w:tr>
      <w:tr>
        <w:trPr>
          <w:cantSplit w:val="true"/>
        </w:trPr>
        <w:tc>
          <w:tcPr>
            <w:tcW w:type="dxa" w:w="2100"/>
            <w:shd w:fill="F8FAFB"/>
            <w:tcMar>
              <w:top w:w="90" w:type="dxa"/>
              <w:start w:w="120" w:type="dxa"/>
              <w:bottom w:w="90" w:type="dxa"/>
              <w:end w:w="120" w:type="dxa"/>
            </w:tcMar>
            <w:vAlign w:val="center"/>
          </w:tcPr>
          <w:p>
            <w:pPr>
              <w:spacing w:after="0" w:line="240" w:lineRule="auto"/>
            </w:pPr>
            <w:r>
              <w:rPr>
                <w:rFonts w:ascii="Arial" w:hAnsi="Arial"/>
                <w:color w:val="202124"/>
                <w:sz w:val="19"/>
              </w:rPr>
              <w:t>Doelgroep</w:t>
            </w:r>
          </w:p>
        </w:tc>
        <w:tc>
          <w:tcPr>
            <w:tcW w:type="dxa" w:w="7260"/>
            <w:shd w:fill="F8FAFB"/>
            <w:tcMar>
              <w:top w:w="90" w:type="dxa"/>
              <w:start w:w="120" w:type="dxa"/>
              <w:bottom w:w="90" w:type="dxa"/>
              <w:end w:w="120" w:type="dxa"/>
            </w:tcMar>
            <w:vAlign w:val="center"/>
          </w:tcPr>
          <w:p>
            <w:pPr>
              <w:spacing w:after="0" w:line="240" w:lineRule="auto"/>
            </w:pPr>
            <w:r>
              <w:rPr>
                <w:rFonts w:ascii="Arial" w:hAnsi="Arial"/>
                <w:color w:val="202124"/>
                <w:sz w:val="19"/>
              </w:rPr>
              <w:t>Database-technicus zonder ecologische voorkennis</w:t>
            </w:r>
          </w:p>
        </w:tc>
      </w:tr>
      <w:tr>
        <w:trPr>
          <w:cantSplit w:val="true"/>
        </w:trPr>
        <w:tc>
          <w:tcPr>
            <w:tcW w:type="dxa" w:w="2100"/>
            <w:tcMar>
              <w:top w:w="90" w:type="dxa"/>
              <w:start w:w="120" w:type="dxa"/>
              <w:bottom w:w="90" w:type="dxa"/>
              <w:end w:w="120" w:type="dxa"/>
            </w:tcMar>
            <w:vAlign w:val="center"/>
          </w:tcPr>
          <w:p>
            <w:pPr>
              <w:spacing w:after="0" w:line="240" w:lineRule="auto"/>
            </w:pPr>
            <w:r>
              <w:rPr>
                <w:rFonts w:ascii="Arial" w:hAnsi="Arial"/>
                <w:color w:val="202124"/>
                <w:sz w:val="19"/>
              </w:rPr>
              <w:t>Datum</w:t>
            </w:r>
          </w:p>
        </w:tc>
        <w:tc>
          <w:tcPr>
            <w:tcW w:type="dxa" w:w="7260"/>
            <w:tcMar>
              <w:top w:w="90" w:type="dxa"/>
              <w:start w:w="120" w:type="dxa"/>
              <w:bottom w:w="90" w:type="dxa"/>
              <w:end w:w="120" w:type="dxa"/>
            </w:tcMar>
            <w:vAlign w:val="center"/>
          </w:tcPr>
          <w:p>
            <w:pPr>
              <w:spacing w:after="0" w:line="240" w:lineRule="auto"/>
            </w:pPr>
            <w:r>
              <w:rPr>
                <w:rFonts w:ascii="Arial" w:hAnsi="Arial"/>
                <w:color w:val="202124"/>
                <w:sz w:val="19"/>
              </w:rPr>
              <w:t>19 augustus 2026</w:t>
            </w:r>
          </w:p>
        </w:tc>
      </w:tr>
      <w:tr>
        <w:trPr>
          <w:cantSplit w:val="true"/>
        </w:trPr>
        <w:tc>
          <w:tcPr>
            <w:tcW w:type="dxa" w:w="2100"/>
            <w:shd w:fill="F8FAFB"/>
            <w:tcMar>
              <w:top w:w="90" w:type="dxa"/>
              <w:start w:w="120" w:type="dxa"/>
              <w:bottom w:w="90" w:type="dxa"/>
              <w:end w:w="120" w:type="dxa"/>
            </w:tcMar>
            <w:vAlign w:val="center"/>
          </w:tcPr>
          <w:p>
            <w:pPr>
              <w:spacing w:after="0" w:line="240" w:lineRule="auto"/>
            </w:pPr>
            <w:r>
              <w:rPr>
                <w:rFonts w:ascii="Arial" w:hAnsi="Arial"/>
                <w:color w:val="202124"/>
                <w:sz w:val="19"/>
              </w:rPr>
              <w:t>Scope</w:t>
            </w:r>
          </w:p>
        </w:tc>
        <w:tc>
          <w:tcPr>
            <w:tcW w:type="dxa" w:w="7260"/>
            <w:shd w:fill="F8FAFB"/>
            <w:tcMar>
              <w:top w:w="90" w:type="dxa"/>
              <w:start w:w="120" w:type="dxa"/>
              <w:bottom w:w="90" w:type="dxa"/>
              <w:end w:w="120" w:type="dxa"/>
            </w:tcMar>
            <w:vAlign w:val="center"/>
          </w:tcPr>
          <w:p>
            <w:pPr>
              <w:spacing w:after="0" w:line="240" w:lineRule="auto"/>
            </w:pPr>
            <w:r>
              <w:rPr>
                <w:rFonts w:ascii="Arial" w:hAnsi="Arial"/>
                <w:color w:val="202124"/>
                <w:sz w:val="19"/>
              </w:rPr>
              <w:t>Uitsluitend begrazing; voorbereid op latere koppeling en uitbreiding</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DDEFE4"/>
          </w:tcPr>
          <w:p>
            <w:pPr>
              <w:spacing w:after="0"/>
            </w:pPr>
            <w:r>
              <w:rPr>
                <w:rFonts w:ascii="Arial" w:hAnsi="Arial"/>
                <w:b/>
                <w:color w:val="183847"/>
                <w:sz w:val="21"/>
              </w:rPr>
              <w:t xml:space="preserve">Kernbesluit: </w:t>
            </w:r>
            <w:r>
              <w:rPr>
                <w:rFonts w:ascii="Arial" w:hAnsi="Arial"/>
                <w:color w:val="202124"/>
                <w:sz w:val="21"/>
              </w:rPr>
              <w:t>Registreer niet één seizoensgemiddelde, maar opeenvolgende begrazingsfasen waarin toegankelijk gebied, kuddesamenstelling en aantal dieren constant zijn. Alleen dan zijn onderbrekingen, wisselbegrazing en lokale verschillen later reconstrueerbaar.</w:t>
            </w:r>
          </w:p>
        </w:tc>
      </w:tr>
    </w:tbl>
    <w:p>
      <w:pPr>
        <w:spacing w:after="40"/>
      </w:pPr>
    </w:p>
    <w:p>
      <w:pPr>
        <w:spacing w:after="120" w:line="264" w:lineRule="auto"/>
      </w:pPr>
      <w:r>
        <w:rPr>
          <w:rFonts w:ascii="Arial" w:hAnsi="Arial"/>
          <w:i/>
          <w:color w:val="202124"/>
          <w:sz w:val="21"/>
        </w:rPr>
        <w:t>Dit document beschrijft welke gegevens en relaties nodig zijn. Technische keuzes zoals indexen, partitionering, ETL, gebruikersrechten en exacte MySQL-datatypen worden pas in een volgende ontwerpfase vastgesteld.</w:t>
      </w:r>
    </w:p>
    <w:p>
      <w:r>
        <w:br w:type="page"/>
      </w:r>
    </w:p>
    <w:p>
      <w:pPr>
        <w:pStyle w:val="Heading1"/>
        <w:keepNext/>
      </w:pPr>
      <w:r>
        <w:t>1. Conclusie van de literatuurvalidatie</w:t>
      </w:r>
    </w:p>
    <w:p>
      <w:pPr>
        <w:spacing w:after="120" w:line="264" w:lineRule="auto"/>
      </w:pPr>
      <w:r>
        <w:rPr>
          <w:rFonts w:ascii="Arial" w:hAnsi="Arial"/>
          <w:i w:val="0"/>
          <w:color w:val="202124"/>
          <w:sz w:val="21"/>
        </w:rPr>
        <w:t>De Zotero-documenten bevestigen de kern van het oorspronkelijke concept: stabiele gebiedsidentiteiten, versieerbare geometrie, tijdvakken, exacte kuddesamenstelling, GVE-normalisatie en expliciete registratie van onderbrekingen en uitvoeringsafwijkingen. Voor deze fase is het model bewust versmald tot begrazing.</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val="true"/>
        </w:trPr>
        <w:tc>
          <w:tcPr>
            <w:tcW w:type="dxa" w:w="1900"/>
            <w:shd w:fill="245A78"/>
            <w:tcMar>
              <w:top w:w="90" w:type="dxa"/>
              <w:start w:w="120" w:type="dxa"/>
              <w:bottom w:w="90" w:type="dxa"/>
              <w:end w:w="120" w:type="dxa"/>
            </w:tcMar>
            <w:vAlign w:val="center"/>
          </w:tcPr>
          <w:p>
            <w:pPr>
              <w:spacing w:after="0"/>
            </w:pPr>
            <w:r>
              <w:rPr>
                <w:rFonts w:ascii="Arial" w:hAnsi="Arial"/>
                <w:b/>
                <w:color w:val="FFFFFF"/>
                <w:sz w:val="18"/>
              </w:rPr>
              <w:t>Aanpassing</w:t>
            </w:r>
          </w:p>
        </w:tc>
        <w:tc>
          <w:tcPr>
            <w:tcW w:type="dxa" w:w="7460"/>
            <w:shd w:fill="245A78"/>
            <w:tcMar>
              <w:top w:w="90" w:type="dxa"/>
              <w:start w:w="120" w:type="dxa"/>
              <w:bottom w:w="90" w:type="dxa"/>
              <w:end w:w="120" w:type="dxa"/>
            </w:tcMar>
            <w:vAlign w:val="center"/>
          </w:tcPr>
          <w:p>
            <w:pPr>
              <w:spacing w:after="0"/>
            </w:pPr>
            <w:r>
              <w:rPr>
                <w:rFonts w:ascii="Arial" w:hAnsi="Arial"/>
                <w:b/>
                <w:color w:val="FFFFFF"/>
                <w:sz w:val="18"/>
              </w:rPr>
              <w:t>Gevolg voor het model</w:t>
            </w:r>
          </w:p>
        </w:tc>
      </w:tr>
      <w:tr>
        <w:trPr>
          <w:cantSplit w:val="true"/>
        </w:trPr>
        <w:tc>
          <w:tcPr>
            <w:tcW w:type="dxa" w:w="1900"/>
            <w:tcMar>
              <w:top w:w="90" w:type="dxa"/>
              <w:start w:w="120" w:type="dxa"/>
              <w:bottom w:w="90" w:type="dxa"/>
              <w:end w:w="120" w:type="dxa"/>
            </w:tcMar>
            <w:vAlign w:val="center"/>
          </w:tcPr>
          <w:p>
            <w:pPr>
              <w:spacing w:after="0" w:line="240" w:lineRule="auto"/>
            </w:pPr>
            <w:r>
              <w:rPr>
                <w:rFonts w:ascii="Arial" w:hAnsi="Arial"/>
                <w:color w:val="202124"/>
                <w:sz w:val="18"/>
              </w:rPr>
              <w:t>Terminologie</w:t>
            </w:r>
          </w:p>
        </w:tc>
        <w:tc>
          <w:tcPr>
            <w:tcW w:type="dxa" w:w="7460"/>
            <w:tcMar>
              <w:top w:w="90" w:type="dxa"/>
              <w:start w:w="120" w:type="dxa"/>
              <w:bottom w:w="90" w:type="dxa"/>
              <w:end w:w="120" w:type="dxa"/>
            </w:tcMar>
            <w:vAlign w:val="center"/>
          </w:tcPr>
          <w:p>
            <w:pPr>
              <w:spacing w:after="0" w:line="240" w:lineRule="auto"/>
            </w:pPr>
            <w:r>
              <w:rPr>
                <w:rFonts w:ascii="Arial" w:hAnsi="Arial"/>
                <w:color w:val="202124"/>
                <w:sz w:val="18"/>
              </w:rPr>
              <w:t>GVE/ha/jaar beschrijft veebezetting. Het is hoogstens een proxy voor werkelijke graasdruk, omdat biomassaproductie, voedselkwaliteit, terreinvoorkeur en seizoen mede bepalen hoeveel daadwerkelijk wordt gegeten.</w:t>
            </w:r>
          </w:p>
        </w:tc>
      </w:tr>
      <w:tr>
        <w:trPr>
          <w:cantSplit w:val="true"/>
        </w:trPr>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8"/>
              </w:rPr>
              <w:t>Uitvoering</w:t>
            </w:r>
          </w:p>
        </w:tc>
        <w:tc>
          <w:tcPr>
            <w:tcW w:type="dxa" w:w="7460"/>
            <w:shd w:fill="F8FAFB"/>
            <w:tcMar>
              <w:top w:w="90" w:type="dxa"/>
              <w:start w:w="120" w:type="dxa"/>
              <w:bottom w:w="90" w:type="dxa"/>
              <w:end w:w="120" w:type="dxa"/>
            </w:tcMar>
            <w:vAlign w:val="center"/>
          </w:tcPr>
          <w:p>
            <w:pPr>
              <w:spacing w:after="0" w:line="240" w:lineRule="auto"/>
            </w:pPr>
            <w:r>
              <w:rPr>
                <w:rFonts w:ascii="Arial" w:hAnsi="Arial"/>
                <w:color w:val="202124"/>
                <w:sz w:val="18"/>
              </w:rPr>
              <w:t>Plan en werkelijkheid moeten afzonderlijk worden geregistreerd. In het wisselbegrazingsonderzoek bleven dieren soms achter, werden hekken geopend, konden afspraken met pachters niet tijdig worden gewijzigd en werden meetcellen verplaatst.</w:t>
            </w:r>
          </w:p>
        </w:tc>
      </w:tr>
      <w:tr>
        <w:trPr>
          <w:cantSplit w:val="true"/>
        </w:trPr>
        <w:tc>
          <w:tcPr>
            <w:tcW w:type="dxa" w:w="1900"/>
            <w:tcMar>
              <w:top w:w="90" w:type="dxa"/>
              <w:start w:w="120" w:type="dxa"/>
              <w:bottom w:w="90" w:type="dxa"/>
              <w:end w:w="120" w:type="dxa"/>
            </w:tcMar>
            <w:vAlign w:val="center"/>
          </w:tcPr>
          <w:p>
            <w:pPr>
              <w:spacing w:after="0" w:line="240" w:lineRule="auto"/>
            </w:pPr>
            <w:r>
              <w:rPr>
                <w:rFonts w:ascii="Arial" w:hAnsi="Arial"/>
                <w:color w:val="202124"/>
                <w:sz w:val="18"/>
              </w:rPr>
              <w:t>Tijdvakken</w:t>
            </w:r>
          </w:p>
        </w:tc>
        <w:tc>
          <w:tcPr>
            <w:tcW w:type="dxa" w:w="7460"/>
            <w:tcMar>
              <w:top w:w="90" w:type="dxa"/>
              <w:start w:w="120" w:type="dxa"/>
              <w:bottom w:w="90" w:type="dxa"/>
              <w:end w:w="120" w:type="dxa"/>
            </w:tcMar>
            <w:vAlign w:val="center"/>
          </w:tcPr>
          <w:p>
            <w:pPr>
              <w:spacing w:after="0" w:line="240" w:lineRule="auto"/>
            </w:pPr>
            <w:r>
              <w:rPr>
                <w:rFonts w:ascii="Arial" w:hAnsi="Arial"/>
                <w:color w:val="202124"/>
                <w:sz w:val="18"/>
              </w:rPr>
              <w:t>Een nieuw faserecord is nodig zodra toegankelijk gebied, kuddesamenstelling, aantal dieren, regime of onderbrekingsstatus verandert.</w:t>
            </w:r>
          </w:p>
        </w:tc>
      </w:tr>
      <w:tr>
        <w:trPr>
          <w:cantSplit w:val="true"/>
        </w:trPr>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8"/>
              </w:rPr>
              <w:t>Koppelbaarheid</w:t>
            </w:r>
          </w:p>
        </w:tc>
        <w:tc>
          <w:tcPr>
            <w:tcW w:type="dxa" w:w="7460"/>
            <w:shd w:fill="F8FAFB"/>
            <w:tcMar>
              <w:top w:w="90" w:type="dxa"/>
              <w:start w:w="120" w:type="dxa"/>
              <w:bottom w:w="90" w:type="dxa"/>
              <w:end w:w="120" w:type="dxa"/>
            </w:tcMar>
            <w:vAlign w:val="center"/>
          </w:tcPr>
          <w:p>
            <w:pPr>
              <w:spacing w:after="0" w:line="240" w:lineRule="auto"/>
            </w:pPr>
            <w:r>
              <w:rPr>
                <w:rFonts w:ascii="Arial" w:hAnsi="Arial"/>
                <w:color w:val="202124"/>
                <w:sz w:val="18"/>
              </w:rPr>
              <w:t>Stabiele codes, geldigheidsperioden, brongeometrieën en externe sleutels maken latere verbinding met andere gegevens mogelijk zonder die gegevens nu in dit model op te nemen.</w:t>
            </w:r>
          </w:p>
        </w:tc>
      </w:tr>
      <w:tr>
        <w:trPr>
          <w:cantSplit w:val="true"/>
        </w:trPr>
        <w:tc>
          <w:tcPr>
            <w:tcW w:type="dxa" w:w="1900"/>
            <w:tcMar>
              <w:top w:w="90" w:type="dxa"/>
              <w:start w:w="120" w:type="dxa"/>
              <w:bottom w:w="90" w:type="dxa"/>
              <w:end w:w="120" w:type="dxa"/>
            </w:tcMar>
            <w:vAlign w:val="center"/>
          </w:tcPr>
          <w:p>
            <w:pPr>
              <w:spacing w:after="0" w:line="240" w:lineRule="auto"/>
            </w:pPr>
            <w:r>
              <w:rPr>
                <w:rFonts w:ascii="Arial" w:hAnsi="Arial"/>
                <w:color w:val="202124"/>
                <w:sz w:val="18"/>
              </w:rPr>
              <w:t>Afbakening</w:t>
            </w:r>
          </w:p>
        </w:tc>
        <w:tc>
          <w:tcPr>
            <w:tcW w:type="dxa" w:w="7460"/>
            <w:tcMar>
              <w:top w:w="90" w:type="dxa"/>
              <w:start w:w="120" w:type="dxa"/>
              <w:bottom w:w="90" w:type="dxa"/>
              <w:end w:w="120" w:type="dxa"/>
            </w:tcMar>
            <w:vAlign w:val="center"/>
          </w:tcPr>
          <w:p>
            <w:pPr>
              <w:spacing w:after="0" w:line="240" w:lineRule="auto"/>
            </w:pPr>
            <w:r>
              <w:rPr>
                <w:rFonts w:ascii="Arial" w:hAnsi="Arial"/>
                <w:color w:val="202124"/>
                <w:sz w:val="18"/>
              </w:rPr>
              <w:t>Een neutrale basisentiteit laat toekomstige uitbreiding toe. In dit document wordt alleen het subtype begrazing functioneel uitgewerkt.</w:t>
            </w:r>
          </w:p>
        </w:tc>
      </w:tr>
    </w:tbl>
    <w:p>
      <w:pPr>
        <w:spacing w:after="40"/>
      </w:pPr>
    </w:p>
    <w:p>
      <w:pPr>
        <w:pStyle w:val="Heading1"/>
        <w:keepNext/>
      </w:pPr>
      <w:r>
        <w:t>2. Wat uit de Zotero-documenten volgt</w:t>
      </w:r>
    </w:p>
    <w:p>
      <w:pPr>
        <w:pStyle w:val="Heading2"/>
        <w:keepNext/>
      </w:pPr>
      <w:r>
        <w:t>2.1 Beheerblootstelling moet exact in ruimte en tijd staan</w:t>
      </w:r>
    </w:p>
    <w:p>
      <w:pPr>
        <w:spacing w:after="120" w:line="264" w:lineRule="auto"/>
      </w:pPr>
      <w:r>
        <w:rPr>
          <w:rFonts w:ascii="Arial" w:hAnsi="Arial"/>
          <w:i w:val="0"/>
          <w:color w:val="202124"/>
          <w:sz w:val="21"/>
        </w:rPr>
        <w:t>Nijssen et al. benadrukken dat voor een vergelijkbare veebezetting de exacte kuddesamenstelling — soort, ras, geslacht en leeftijd — en het aantal graasdagen nodig zijn. De praktijkgegevens bevatten juist op deze punten lacunes. Het model bewaart daarom de ruwe aantallen en de destijds gebruikte GVE-factor naast de berekende maat.</w:t>
      </w:r>
    </w:p>
    <w:p>
      <w:pPr>
        <w:pStyle w:val="Heading2"/>
        <w:keepNext/>
      </w:pPr>
      <w:r>
        <w:t>2.2 Uitvoeringsafwijkingen zijn gegevens, geen voetnoten</w:t>
      </w:r>
    </w:p>
    <w:p>
      <w:pPr>
        <w:spacing w:after="120" w:line="264" w:lineRule="auto"/>
      </w:pPr>
      <w:r>
        <w:rPr>
          <w:rFonts w:ascii="Arial" w:hAnsi="Arial"/>
          <w:i w:val="0"/>
          <w:color w:val="202124"/>
          <w:sz w:val="21"/>
        </w:rPr>
        <w:t>Het wisselbegrazingsonderzoek laat zien dat een gepland onbegraasd gebied feitelijk toch begraasd kan zijn. Ook tijdelijke schapenbegrazing, een veranderde afrastering of een paar achtergebleven pony’s kunnen de interpretatie beïnvloeden. Een aparte tabel voor afwijkingen voorkomt dat zulke informatie alleen in vrije notities of rapporttekst blijft staan.</w:t>
      </w:r>
    </w:p>
    <w:p>
      <w:pPr>
        <w:pStyle w:val="Heading2"/>
        <w:keepNext/>
      </w:pPr>
      <w:r>
        <w:t>2.3 Koppelbaarheid vereist geen ecologisch deelmodel</w:t>
      </w:r>
    </w:p>
    <w:p>
      <w:pPr>
        <w:spacing w:after="120" w:line="264" w:lineRule="auto"/>
      </w:pPr>
      <w:r>
        <w:rPr>
          <w:rFonts w:ascii="Arial" w:hAnsi="Arial"/>
          <w:i w:val="0"/>
          <w:color w:val="202124"/>
          <w:sz w:val="21"/>
        </w:rPr>
        <w:t>De beheerregistratie hoeft toekomstige meetreeksen niet zelf op te slaan. Zij moet wel eenduidig kunnen leveren waar en wanneer begrazing feitelijk plaatsvond. Daarom blijven stabiele gebiedscodes, geldigheidsperioden, geometrieën en een externe koppelsleutel onderdeel van het concept.</w:t>
      </w:r>
    </w:p>
    <w:p>
      <w:pPr>
        <w:pStyle w:val="Heading2"/>
        <w:keepNext/>
      </w:pPr>
      <w:r>
        <w:t>2.4 Uitbreidbaar, maar nu alleen begrazing</w:t>
      </w:r>
    </w:p>
    <w:p>
      <w:pPr>
        <w:spacing w:after="120" w:line="264" w:lineRule="auto"/>
      </w:pPr>
      <w:r>
        <w:rPr>
          <w:rFonts w:ascii="Arial" w:hAnsi="Arial"/>
          <w:i w:val="0"/>
          <w:color w:val="202124"/>
          <w:sz w:val="21"/>
        </w:rPr>
        <w:t>Een neutrale beheergebeurtenis vormt de technische kapstok. Alleen de begrazingsperiode en de bijbehorende fasen, kuddes en afwijkingen worden nu beschreven. Eventuele latere uitbreidingen kunnen dezelfde ruimtelijke en temporele basis gebruiken zonder het begrazingsmodel te wijzigen.</w:t>
      </w:r>
    </w:p>
    <w:p>
      <w:pPr>
        <w:pStyle w:val="Heading1"/>
        <w:keepNext/>
      </w:pPr>
      <w:r>
        <w:t>3. Begrippen voor de database-technicus</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val="true"/>
        </w:trPr>
        <w:tc>
          <w:tcPr>
            <w:tcW w:type="dxa" w:w="2100"/>
            <w:shd w:fill="245A78"/>
            <w:tcMar>
              <w:top w:w="90" w:type="dxa"/>
              <w:start w:w="120" w:type="dxa"/>
              <w:bottom w:w="90" w:type="dxa"/>
              <w:end w:w="120" w:type="dxa"/>
            </w:tcMar>
            <w:vAlign w:val="center"/>
          </w:tcPr>
          <w:p>
            <w:pPr>
              <w:spacing w:after="0"/>
            </w:pPr>
            <w:r>
              <w:rPr>
                <w:rFonts w:ascii="Arial" w:hAnsi="Arial"/>
                <w:b/>
                <w:color w:val="FFFFFF"/>
                <w:sz w:val="18"/>
              </w:rPr>
              <w:t>Begrip</w:t>
            </w:r>
          </w:p>
        </w:tc>
        <w:tc>
          <w:tcPr>
            <w:tcW w:type="dxa" w:w="7260"/>
            <w:shd w:fill="245A78"/>
            <w:tcMar>
              <w:top w:w="90" w:type="dxa"/>
              <w:start w:w="120" w:type="dxa"/>
              <w:bottom w:w="90" w:type="dxa"/>
              <w:end w:w="120" w:type="dxa"/>
            </w:tcMar>
            <w:vAlign w:val="center"/>
          </w:tcPr>
          <w:p>
            <w:pPr>
              <w:spacing w:after="0"/>
            </w:pPr>
            <w:r>
              <w:rPr>
                <w:rFonts w:ascii="Arial" w:hAnsi="Arial"/>
                <w:b/>
                <w:color w:val="FFFFFF"/>
                <w:sz w:val="18"/>
              </w:rPr>
              <w:t>Betekenis in dit model</w:t>
            </w:r>
          </w:p>
        </w:tc>
      </w:tr>
      <w:tr>
        <w:trPr>
          <w:cantSplit w:val="true"/>
        </w:trPr>
        <w:tc>
          <w:tcPr>
            <w:tcW w:type="dxa" w:w="2100"/>
            <w:tcMar>
              <w:top w:w="90" w:type="dxa"/>
              <w:start w:w="120" w:type="dxa"/>
              <w:bottom w:w="90" w:type="dxa"/>
              <w:end w:w="120" w:type="dxa"/>
            </w:tcMar>
            <w:vAlign w:val="center"/>
          </w:tcPr>
          <w:p>
            <w:pPr>
              <w:spacing w:after="0" w:line="240" w:lineRule="auto"/>
            </w:pPr>
            <w:r>
              <w:rPr>
                <w:rFonts w:ascii="Arial" w:hAnsi="Arial"/>
                <w:color w:val="202124"/>
                <w:sz w:val="18"/>
              </w:rPr>
              <w:t>Begrazingsblootstelling</w:t>
            </w:r>
          </w:p>
        </w:tc>
        <w:tc>
          <w:tcPr>
            <w:tcW w:type="dxa" w:w="7260"/>
            <w:tcMar>
              <w:top w:w="90" w:type="dxa"/>
              <w:start w:w="120" w:type="dxa"/>
              <w:bottom w:w="90" w:type="dxa"/>
              <w:end w:w="120" w:type="dxa"/>
            </w:tcMar>
            <w:vAlign w:val="center"/>
          </w:tcPr>
          <w:p>
            <w:pPr>
              <w:spacing w:after="0" w:line="240" w:lineRule="auto"/>
            </w:pPr>
            <w:r>
              <w:rPr>
                <w:rFonts w:ascii="Arial" w:hAnsi="Arial"/>
                <w:color w:val="202124"/>
                <w:sz w:val="18"/>
              </w:rPr>
              <w:t>Welke grazers op een locatie in een bepaalde periode feitelijk toegang hadden.</w:t>
            </w:r>
          </w:p>
        </w:tc>
      </w:tr>
      <w:tr>
        <w:trPr>
          <w:cantSplit w:val="true"/>
        </w:trPr>
        <w:tc>
          <w:tcPr>
            <w:tcW w:type="dxa" w:w="2100"/>
            <w:shd w:fill="F8FAFB"/>
            <w:tcMar>
              <w:top w:w="90" w:type="dxa"/>
              <w:start w:w="120" w:type="dxa"/>
              <w:bottom w:w="90" w:type="dxa"/>
              <w:end w:w="120" w:type="dxa"/>
            </w:tcMar>
            <w:vAlign w:val="center"/>
          </w:tcPr>
          <w:p>
            <w:pPr>
              <w:spacing w:after="0" w:line="240" w:lineRule="auto"/>
            </w:pPr>
            <w:r>
              <w:rPr>
                <w:rFonts w:ascii="Arial" w:hAnsi="Arial"/>
                <w:color w:val="202124"/>
                <w:sz w:val="18"/>
              </w:rPr>
              <w:t>Veebezetting</w:t>
            </w:r>
          </w:p>
        </w:tc>
        <w:tc>
          <w:tcPr>
            <w:tcW w:type="dxa" w:w="7260"/>
            <w:shd w:fill="F8FAFB"/>
            <w:tcMar>
              <w:top w:w="90" w:type="dxa"/>
              <w:start w:w="120" w:type="dxa"/>
              <w:bottom w:w="90" w:type="dxa"/>
              <w:end w:w="120" w:type="dxa"/>
            </w:tcMar>
            <w:vAlign w:val="center"/>
          </w:tcPr>
          <w:p>
            <w:pPr>
              <w:spacing w:after="0" w:line="240" w:lineRule="auto"/>
            </w:pPr>
            <w:r>
              <w:rPr>
                <w:rFonts w:ascii="Arial" w:hAnsi="Arial"/>
                <w:color w:val="202124"/>
                <w:sz w:val="18"/>
              </w:rPr>
              <w:t>Aantal dieren omgerekend naar GVE en gedeeld door oppervlakte en tijd. Reproduceerbare administratieve maat.</w:t>
            </w:r>
          </w:p>
        </w:tc>
      </w:tr>
      <w:tr>
        <w:trPr>
          <w:cantSplit w:val="true"/>
        </w:trPr>
        <w:tc>
          <w:tcPr>
            <w:tcW w:type="dxa" w:w="2100"/>
            <w:tcMar>
              <w:top w:w="90" w:type="dxa"/>
              <w:start w:w="120" w:type="dxa"/>
              <w:bottom w:w="90" w:type="dxa"/>
              <w:end w:w="120" w:type="dxa"/>
            </w:tcMar>
            <w:vAlign w:val="center"/>
          </w:tcPr>
          <w:p>
            <w:pPr>
              <w:spacing w:after="0" w:line="240" w:lineRule="auto"/>
            </w:pPr>
            <w:r>
              <w:rPr>
                <w:rFonts w:ascii="Arial" w:hAnsi="Arial"/>
                <w:color w:val="202124"/>
                <w:sz w:val="18"/>
              </w:rPr>
              <w:t>Werkelijke graasdruk</w:t>
            </w:r>
          </w:p>
        </w:tc>
        <w:tc>
          <w:tcPr>
            <w:tcW w:type="dxa" w:w="7260"/>
            <w:tcMar>
              <w:top w:w="90" w:type="dxa"/>
              <w:start w:w="120" w:type="dxa"/>
              <w:bottom w:w="90" w:type="dxa"/>
              <w:end w:w="120" w:type="dxa"/>
            </w:tcMar>
            <w:vAlign w:val="center"/>
          </w:tcPr>
          <w:p>
            <w:pPr>
              <w:spacing w:after="0" w:line="240" w:lineRule="auto"/>
            </w:pPr>
            <w:r>
              <w:rPr>
                <w:rFonts w:ascii="Arial" w:hAnsi="Arial"/>
                <w:color w:val="202124"/>
                <w:sz w:val="18"/>
              </w:rPr>
              <w:t>De verhouding tussen geproduceerde biomassa en geconsumeerde biomassa. Meestal niet rechtstreeks bekend.</w:t>
            </w:r>
          </w:p>
        </w:tc>
      </w:tr>
      <w:tr>
        <w:trPr>
          <w:cantSplit w:val="true"/>
        </w:trPr>
        <w:tc>
          <w:tcPr>
            <w:tcW w:type="dxa" w:w="2100"/>
            <w:shd w:fill="F8FAFB"/>
            <w:tcMar>
              <w:top w:w="90" w:type="dxa"/>
              <w:start w:w="120" w:type="dxa"/>
              <w:bottom w:w="90" w:type="dxa"/>
              <w:end w:w="120" w:type="dxa"/>
            </w:tcMar>
            <w:vAlign w:val="center"/>
          </w:tcPr>
          <w:p>
            <w:pPr>
              <w:spacing w:after="0" w:line="240" w:lineRule="auto"/>
            </w:pPr>
            <w:r>
              <w:rPr>
                <w:rFonts w:ascii="Arial" w:hAnsi="Arial"/>
                <w:color w:val="202124"/>
                <w:sz w:val="18"/>
              </w:rPr>
              <w:t>Begrazingsfase</w:t>
            </w:r>
          </w:p>
        </w:tc>
        <w:tc>
          <w:tcPr>
            <w:tcW w:type="dxa" w:w="7260"/>
            <w:shd w:fill="F8FAFB"/>
            <w:tcMar>
              <w:top w:w="90" w:type="dxa"/>
              <w:start w:w="120" w:type="dxa"/>
              <w:bottom w:w="90" w:type="dxa"/>
              <w:end w:w="120" w:type="dxa"/>
            </w:tcMar>
            <w:vAlign w:val="center"/>
          </w:tcPr>
          <w:p>
            <w:pPr>
              <w:spacing w:after="0" w:line="240" w:lineRule="auto"/>
            </w:pPr>
            <w:r>
              <w:rPr>
                <w:rFonts w:ascii="Arial" w:hAnsi="Arial"/>
                <w:color w:val="202124"/>
                <w:sz w:val="18"/>
              </w:rPr>
              <w:t>Tijdvak waarin toegankelijk gebied, kuddesamenstelling en regime niet veranderen.</w:t>
            </w:r>
          </w:p>
        </w:tc>
      </w:tr>
      <w:tr>
        <w:trPr>
          <w:cantSplit w:val="true"/>
        </w:trPr>
        <w:tc>
          <w:tcPr>
            <w:tcW w:type="dxa" w:w="2100"/>
            <w:tcMar>
              <w:top w:w="90" w:type="dxa"/>
              <w:start w:w="120" w:type="dxa"/>
              <w:bottom w:w="90" w:type="dxa"/>
              <w:end w:w="120" w:type="dxa"/>
            </w:tcMar>
            <w:vAlign w:val="center"/>
          </w:tcPr>
          <w:p>
            <w:pPr>
              <w:spacing w:after="0" w:line="240" w:lineRule="auto"/>
            </w:pPr>
            <w:r>
              <w:rPr>
                <w:rFonts w:ascii="Arial" w:hAnsi="Arial"/>
                <w:color w:val="202124"/>
                <w:sz w:val="18"/>
              </w:rPr>
              <w:t>Beheergebeurtenis</w:t>
            </w:r>
          </w:p>
        </w:tc>
        <w:tc>
          <w:tcPr>
            <w:tcW w:type="dxa" w:w="7260"/>
            <w:tcMar>
              <w:top w:w="90" w:type="dxa"/>
              <w:start w:w="120" w:type="dxa"/>
              <w:bottom w:w="90" w:type="dxa"/>
              <w:end w:w="120" w:type="dxa"/>
            </w:tcMar>
            <w:vAlign w:val="center"/>
          </w:tcPr>
          <w:p>
            <w:pPr>
              <w:spacing w:after="0" w:line="240" w:lineRule="auto"/>
            </w:pPr>
            <w:r>
              <w:rPr>
                <w:rFonts w:ascii="Arial" w:hAnsi="Arial"/>
                <w:color w:val="202124"/>
                <w:sz w:val="18"/>
              </w:rPr>
              <w:t>Neutrale technische identiteit waarvan begrazing in dit concept het enige uitgewerkte subtype is.</w:t>
            </w:r>
          </w:p>
        </w:tc>
      </w:tr>
      <w:tr>
        <w:trPr>
          <w:cantSplit w:val="true"/>
        </w:trPr>
        <w:tc>
          <w:tcPr>
            <w:tcW w:type="dxa" w:w="2100"/>
            <w:shd w:fill="F8FAFB"/>
            <w:tcMar>
              <w:top w:w="90" w:type="dxa"/>
              <w:start w:w="120" w:type="dxa"/>
              <w:bottom w:w="90" w:type="dxa"/>
              <w:end w:w="120" w:type="dxa"/>
            </w:tcMar>
            <w:vAlign w:val="center"/>
          </w:tcPr>
          <w:p>
            <w:pPr>
              <w:spacing w:after="0" w:line="240" w:lineRule="auto"/>
            </w:pPr>
            <w:r>
              <w:rPr>
                <w:rFonts w:ascii="Arial" w:hAnsi="Arial"/>
                <w:color w:val="202124"/>
                <w:sz w:val="18"/>
              </w:rPr>
              <w:t>Externe koppelsleutel</w:t>
            </w:r>
          </w:p>
        </w:tc>
        <w:tc>
          <w:tcPr>
            <w:tcW w:type="dxa" w:w="7260"/>
            <w:shd w:fill="F8FAFB"/>
            <w:tcMar>
              <w:top w:w="90" w:type="dxa"/>
              <w:start w:w="120" w:type="dxa"/>
              <w:bottom w:w="90" w:type="dxa"/>
              <w:end w:w="120" w:type="dxa"/>
            </w:tcMar>
            <w:vAlign w:val="center"/>
          </w:tcPr>
          <w:p>
            <w:pPr>
              <w:spacing w:after="0" w:line="240" w:lineRule="auto"/>
            </w:pPr>
            <w:r>
              <w:rPr>
                <w:rFonts w:ascii="Arial" w:hAnsi="Arial"/>
                <w:color w:val="202124"/>
                <w:sz w:val="18"/>
              </w:rPr>
              <w:t>Sleutel waarmee een ander systeem later naar gebied, periode of begrazingsrecord kan verwijzen.</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3E9D2"/>
          </w:tcPr>
          <w:p>
            <w:pPr>
              <w:spacing w:after="0"/>
            </w:pPr>
            <w:r>
              <w:rPr>
                <w:rFonts w:ascii="Arial" w:hAnsi="Arial"/>
                <w:b/>
                <w:color w:val="183847"/>
                <w:sz w:val="21"/>
              </w:rPr>
              <w:t xml:space="preserve">Belangrijke naamgevingsregel: </w:t>
            </w:r>
            <w:r>
              <w:rPr>
                <w:rFonts w:ascii="Arial" w:hAnsi="Arial"/>
                <w:color w:val="202124"/>
                <w:sz w:val="21"/>
              </w:rPr>
              <w:t>Noem een berekend veld niet graasdruk als het uitsluitend uit dierenaantal, GVE, hectares en dagen bestaat. Gebruik bijvoorbeeld veebezetting_gve_ha_jaar. Reserveer werkelijke_graasdruk voor een later gevalideerde maat waarin ook biomassa of consumptie is verwerkt.</w:t>
            </w:r>
          </w:p>
        </w:tc>
      </w:tr>
    </w:tbl>
    <w:p>
      <w:pPr>
        <w:spacing w:after="40"/>
      </w:pPr>
    </w:p>
    <w:p>
      <w:pPr>
        <w:sectPr>
          <w:pgSz w:w="12240" w:h="15840"/>
          <w:pgMar w:top="1152" w:right="1440" w:bottom="1080" w:left="1440" w:header="605" w:footer="605" w:gutter="0"/>
          <w:cols w:space="720"/>
          <w:docGrid w:linePitch="360"/>
        </w:sectPr>
      </w:pPr>
    </w:p>
    <w:p>
      <w:pPr>
        <w:pStyle w:val="Heading1"/>
        <w:keepNext/>
      </w:pPr>
      <w:r>
        <w:t>4. Grafisch conceptmodel</w:t>
      </w:r>
    </w:p>
    <w:p>
      <w:pPr>
        <w:keepNext/>
        <w:jc w:val="center"/>
      </w:pPr>
      <w:r>
        <w:drawing>
          <wp:inline xmlns:a="http://schemas.openxmlformats.org/drawingml/2006/main" xmlns:pic="http://schemas.openxmlformats.org/drawingml/2006/picture">
            <wp:extent cx="8229600" cy="5657850"/>
            <wp:docPr id="1" name="Picture 1" title="Conceptueel gegevensmodel begrazingsbeheer vanaf 2026" descr="Drie kolommen met ruimtelijke registratie, begrazing in de tijd en referentie- en detailgegevens. Iedere relatie eindigt met een pijlpunt op de rand van de betrokken tabel; geen lijn loopt door een tabel."/>
            <wp:cNvGraphicFramePr>
              <a:graphicFrameLocks noChangeAspect="1"/>
            </wp:cNvGraphicFramePr>
            <a:graphic>
              <a:graphicData uri="http://schemas.openxmlformats.org/drawingml/2006/picture">
                <pic:pic>
                  <pic:nvPicPr>
                    <pic:cNvPr id="0" name="conceptmodel_begrazing_2026.png"/>
                    <pic:cNvPicPr/>
                  </pic:nvPicPr>
                  <pic:blipFill>
                    <a:blip r:embed="rId11"/>
                    <a:stretch>
                      <a:fillRect/>
                    </a:stretch>
                  </pic:blipFill>
                  <pic:spPr>
                    <a:xfrm>
                      <a:off x="0" y="0"/>
                      <a:ext cx="8229600" cy="5657850"/>
                    </a:xfrm>
                    <a:prstGeom prst="rect"/>
                  </pic:spPr>
                </pic:pic>
              </a:graphicData>
            </a:graphic>
          </wp:inline>
        </w:drawing>
      </w:r>
    </w:p>
    <w:p>
      <w:pPr>
        <w:spacing w:before="40" w:after="0"/>
        <w:jc w:val="center"/>
      </w:pPr>
      <w:r>
        <w:rPr>
          <w:rFonts w:ascii="Arial" w:hAnsi="Arial"/>
          <w:i/>
          <w:color w:val="55727E"/>
          <w:sz w:val="18"/>
        </w:rPr>
        <w:t>Figuur 1. Conceptuele samenhang. Het diagram toont hoofdtabellen en kernrelaties; volledige kolommen staan in hoofdstuk 6.</w:t>
      </w:r>
    </w:p>
    <w:p>
      <w:pPr>
        <w:sectPr>
          <w:pgSz w:w="15840" w:h="12240" w:orient="landscape"/>
          <w:pgMar w:top="792" w:right="792" w:bottom="792" w:left="792" w:header="605" w:footer="605" w:gutter="0"/>
          <w:cols w:space="720"/>
          <w:docGrid w:linePitch="360"/>
        </w:sectPr>
      </w:pPr>
    </w:p>
    <w:p>
      <w:pPr>
        <w:pStyle w:val="Heading1"/>
        <w:keepNext/>
      </w:pPr>
      <w:r>
        <w:t>5. Hoofdstructuur van het model</w:t>
      </w:r>
    </w:p>
    <w:p>
      <w:pPr>
        <w:pStyle w:val="Heading2"/>
        <w:keepNext/>
      </w:pPr>
      <w:r>
        <w:t>5.1 Gebied en ruimtelijke geldigheid</w:t>
      </w:r>
    </w:p>
    <w:p>
      <w:pPr>
        <w:spacing w:after="120" w:line="264" w:lineRule="auto"/>
      </w:pPr>
      <w:r>
        <w:rPr>
          <w:rFonts w:ascii="Arial" w:hAnsi="Arial"/>
          <w:i w:val="0"/>
          <w:color w:val="202124"/>
          <w:sz w:val="21"/>
        </w:rPr>
        <w:t>Een beheergebied heeft een blijvende identiteit. De fysieke begrenzing staat in een afzonderlijke versie, zodat een grens- of rasterwijziging de historische situatie niet overschrijft. Het begrazingsgebied legt vast welk vlak binnen die versie feitelijk aan de begrazingsperiode was gekoppeld.</w:t>
      </w:r>
    </w:p>
    <w:p>
      <w:pPr>
        <w:pStyle w:val="Heading2"/>
        <w:keepNext/>
      </w:pPr>
      <w:r>
        <w:t>5.2 Begrazingsblootstelling</w:t>
      </w:r>
    </w:p>
    <w:p>
      <w:pPr>
        <w:spacing w:after="120" w:line="264" w:lineRule="auto"/>
      </w:pPr>
      <w:r>
        <w:rPr>
          <w:rFonts w:ascii="Arial" w:hAnsi="Arial"/>
          <w:i w:val="0"/>
          <w:color w:val="202124"/>
          <w:sz w:val="21"/>
        </w:rPr>
        <w:t>Een begrazingsperiode is de administratieve hoofdmaatregel. Zij bestaat uit één of meer fasen. Bij verandering van dieren, toegankelijk vlak, regime of onderbreking begint een nieuwe fase. De inzetregels per grazercategorie vormen de basis voor GVE-dagen en veebezetting. Afwijkingen bewaren verschillen tussen plan en werkelijkheid.</w:t>
      </w:r>
    </w:p>
    <w:p>
      <w:pPr>
        <w:pStyle w:val="Heading2"/>
        <w:keepNext/>
      </w:pPr>
      <w:r>
        <w:t>5.3 Technisch koppelvlak voor later</w:t>
      </w:r>
    </w:p>
    <w:p>
      <w:pPr>
        <w:spacing w:after="120" w:line="264" w:lineRule="auto"/>
      </w:pPr>
      <w:r>
        <w:rPr>
          <w:rFonts w:ascii="Arial" w:hAnsi="Arial"/>
          <w:i w:val="0"/>
          <w:color w:val="202124"/>
          <w:sz w:val="21"/>
        </w:rPr>
        <w:t>Het model neemt nu geen ecologische meetreeksen en geen andere inhoudelijke beheertypen op. Latere systemen kunnen wel aansluiten via stabiele gebiedscodes, geometrieën, begin- en eindtijden en externe sleutels. De neutrale beheergebeurtenis voorkomt dat daarvoor de begrazingstabellen moeten worden verbouwd.</w:t>
      </w:r>
    </w:p>
    <w:p>
      <w:pPr>
        <w:pStyle w:val="Heading1"/>
        <w:keepNext/>
      </w:pPr>
      <w:r>
        <w:t>6. Tabellen, kolommen en relaties</w:t>
      </w:r>
    </w:p>
    <w:p>
      <w:pPr>
        <w:spacing w:after="120" w:line="264" w:lineRule="auto"/>
      </w:pPr>
      <w:r>
        <w:rPr>
          <w:rFonts w:ascii="Arial" w:hAnsi="Arial"/>
          <w:i w:val="0"/>
          <w:color w:val="202124"/>
          <w:sz w:val="21"/>
        </w:rPr>
        <w:t>Onderstaande veldcatalogus is functioneel. Datatypen zijn richtinggevend: UUID/BIGINT voor sleutels, DATE/DATETIME voor tijd, DECIMAL voor berekeningen, JSON alleen voor niet-kritieke aanvullende metadata en MySQL Geometry met SRID 28992 voor ruimtelijke objecten.</w:t>
      </w:r>
    </w:p>
    <w:p>
      <w:pPr>
        <w:pStyle w:val="Heading2"/>
        <w:keepNext/>
      </w:pPr>
      <w:r>
        <w:t>6.1 Gebied en neutrale basis</w:t>
      </w:r>
    </w:p>
    <w:tbl>
      <w:tblPr>
        <w:tblStyle w:val="TableGrid"/>
        <w:tblW w:type="dxa" w:w="9360"/>
        <w:jc w:val="left"/>
        <w:tblLayout w:type="fixed"/>
        <w:tblLook w:firstColumn="1" w:firstRow="1" w:lastColumn="0" w:lastRow="0" w:noHBand="0" w:noVBand="1" w:val="04A0"/>
        <w:tblInd w:w="120" w:type="dxa"/>
      </w:tblPr>
      <w:tblGrid>
        <w:gridCol w:w="1700"/>
        <w:gridCol w:w="2550"/>
        <w:gridCol w:w="1900"/>
        <w:gridCol w:w="3210"/>
      </w:tblGrid>
      <w:tr>
        <w:trPr>
          <w:tblHeader w:val="true"/>
          <w:cantSplit w:val="true"/>
        </w:trPr>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Tabel</w:t>
            </w:r>
          </w:p>
        </w:tc>
        <w:tc>
          <w:tcPr>
            <w:tcW w:type="dxa" w:w="2550"/>
            <w:shd w:fill="245A78"/>
            <w:tcMar>
              <w:top w:w="90" w:type="dxa"/>
              <w:start w:w="120" w:type="dxa"/>
              <w:bottom w:w="90" w:type="dxa"/>
              <w:end w:w="120" w:type="dxa"/>
            </w:tcMar>
            <w:vAlign w:val="center"/>
          </w:tcPr>
          <w:p>
            <w:pPr>
              <w:spacing w:after="0"/>
            </w:pPr>
            <w:r>
              <w:rPr>
                <w:rFonts w:ascii="Arial" w:hAnsi="Arial"/>
                <w:b/>
                <w:color w:val="FFFFFF"/>
                <w:sz w:val="16"/>
              </w:rPr>
              <w:t>Kolom(men)</w:t>
            </w:r>
          </w:p>
        </w:tc>
        <w:tc>
          <w:tcPr>
            <w:tcW w:type="dxa" w:w="1900"/>
            <w:shd w:fill="245A78"/>
            <w:tcMar>
              <w:top w:w="90" w:type="dxa"/>
              <w:start w:w="120" w:type="dxa"/>
              <w:bottom w:w="90" w:type="dxa"/>
              <w:end w:w="120" w:type="dxa"/>
            </w:tcMar>
            <w:vAlign w:val="center"/>
          </w:tcPr>
          <w:p>
            <w:pPr>
              <w:spacing w:after="0"/>
            </w:pPr>
            <w:r>
              <w:rPr>
                <w:rFonts w:ascii="Arial" w:hAnsi="Arial"/>
                <w:b/>
                <w:color w:val="FFFFFF"/>
                <w:sz w:val="16"/>
              </w:rPr>
              <w:t>Sleutel/regel</w:t>
            </w:r>
          </w:p>
        </w:tc>
        <w:tc>
          <w:tcPr>
            <w:tcW w:type="dxa" w:w="3210"/>
            <w:shd w:fill="245A78"/>
            <w:tcMar>
              <w:top w:w="90" w:type="dxa"/>
              <w:start w:w="120" w:type="dxa"/>
              <w:bottom w:w="90" w:type="dxa"/>
              <w:end w:w="120" w:type="dxa"/>
            </w:tcMar>
            <w:vAlign w:val="center"/>
          </w:tcPr>
          <w:p>
            <w:pPr>
              <w:spacing w:after="0"/>
            </w:pPr>
            <w:r>
              <w:rPr>
                <w:rFonts w:ascii="Arial" w:hAnsi="Arial"/>
                <w:b/>
                <w:color w:val="FFFFFF"/>
                <w:sz w:val="16"/>
              </w:rPr>
              <w:t>Betekenis</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beheergebied</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beheergebied_id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Technische identiteit.</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beheergebied</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stabiele_code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UK, 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Blijvende herkenbare code; nooit hergebruiken.</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beheergebied</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naam, beheerder, status</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Naam, verantwoordelijke partij en actief/vervallen.</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gebiedsversie_id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Identiteit van één geometrische versie.</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beheergebied_id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FK → beheergebied</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Oudergebied.</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geldig_van, geldig_tot</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verplicht/optioneel</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Versies van hetzelfde gebied mogen niet overlappen.</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geometrie, oppervlakte_ha</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Geometry/afgeleid</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Polygon/MultiPolygon in RD New; ha uit geometrie berekenen.</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bron, nauwkeurigheid, wijzigingsreden</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Herkomst en kwaliteit van de begrenzing.</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beheergebeurtenis</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gebeurtenis_id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Neutrale identiteit; alleen begrazing wordt nu uitgewerkt.</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beheergebeurtenis</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plan_of_werkelijk</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Plan en uitvoering niet in hetzelfde record vermengen.</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beheergebeurtenis</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doel, status, bron</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Doel, uitvoeringsstatus en herkomst.</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begrazingsgebied</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begrazingsgebied_id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Ruimtelijke koppeling van een begrazingsperiode.</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begrazingsgebied</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gebeurtenis_id, gebiedsversie_id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FK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N:M-koppeling tussen periode en gebiedsversie.</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begrazingsgebied</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werkelijke_geometrie, oppervlakte_ha</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Feitelijk toegankelijk hoofdvlak; kan kleiner zijn dan gebiedsversie.</w:t>
            </w:r>
          </w:p>
        </w:tc>
      </w:tr>
    </w:tbl>
    <w:p>
      <w:pPr>
        <w:spacing w:after="40"/>
      </w:pPr>
    </w:p>
    <w:p>
      <w:pPr>
        <w:pStyle w:val="Heading2"/>
        <w:keepNext/>
      </w:pPr>
      <w:r>
        <w:t>6.2 Begrazingsperiode, fasen en kudde</w:t>
      </w:r>
    </w:p>
    <w:tbl>
      <w:tblPr>
        <w:tblStyle w:val="TableGrid"/>
        <w:tblW w:type="dxa" w:w="9360"/>
        <w:jc w:val="left"/>
        <w:tblLayout w:type="fixed"/>
        <w:tblLook w:firstColumn="1" w:firstRow="1" w:lastColumn="0" w:lastRow="0" w:noHBand="0" w:noVBand="1" w:val="04A0"/>
        <w:tblInd w:w="120" w:type="dxa"/>
      </w:tblPr>
      <w:tblGrid>
        <w:gridCol w:w="1700"/>
        <w:gridCol w:w="2550"/>
        <w:gridCol w:w="1900"/>
        <w:gridCol w:w="3210"/>
      </w:tblGrid>
      <w:tr>
        <w:trPr>
          <w:tblHeader w:val="true"/>
          <w:cantSplit w:val="true"/>
        </w:trPr>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Tabel</w:t>
            </w:r>
          </w:p>
        </w:tc>
        <w:tc>
          <w:tcPr>
            <w:tcW w:type="dxa" w:w="2550"/>
            <w:shd w:fill="245A78"/>
            <w:tcMar>
              <w:top w:w="90" w:type="dxa"/>
              <w:start w:w="120" w:type="dxa"/>
              <w:bottom w:w="90" w:type="dxa"/>
              <w:end w:w="120" w:type="dxa"/>
            </w:tcMar>
            <w:vAlign w:val="center"/>
          </w:tcPr>
          <w:p>
            <w:pPr>
              <w:spacing w:after="0"/>
            </w:pPr>
            <w:r>
              <w:rPr>
                <w:rFonts w:ascii="Arial" w:hAnsi="Arial"/>
                <w:b/>
                <w:color w:val="FFFFFF"/>
                <w:sz w:val="16"/>
              </w:rPr>
              <w:t>Kolom(men)</w:t>
            </w:r>
          </w:p>
        </w:tc>
        <w:tc>
          <w:tcPr>
            <w:tcW w:type="dxa" w:w="1900"/>
            <w:shd w:fill="245A78"/>
            <w:tcMar>
              <w:top w:w="90" w:type="dxa"/>
              <w:start w:w="120" w:type="dxa"/>
              <w:bottom w:w="90" w:type="dxa"/>
              <w:end w:w="120" w:type="dxa"/>
            </w:tcMar>
            <w:vAlign w:val="center"/>
          </w:tcPr>
          <w:p>
            <w:pPr>
              <w:spacing w:after="0"/>
            </w:pPr>
            <w:r>
              <w:rPr>
                <w:rFonts w:ascii="Arial" w:hAnsi="Arial"/>
                <w:b/>
                <w:color w:val="FFFFFF"/>
                <w:sz w:val="16"/>
              </w:rPr>
              <w:t>Sleutel/regel</w:t>
            </w:r>
          </w:p>
        </w:tc>
        <w:tc>
          <w:tcPr>
            <w:tcW w:type="dxa" w:w="3210"/>
            <w:shd w:fill="245A78"/>
            <w:tcMar>
              <w:top w:w="90" w:type="dxa"/>
              <w:start w:w="120" w:type="dxa"/>
              <w:bottom w:w="90" w:type="dxa"/>
              <w:end w:w="120" w:type="dxa"/>
            </w:tcMar>
            <w:vAlign w:val="center"/>
          </w:tcPr>
          <w:p>
            <w:pPr>
              <w:spacing w:after="0"/>
            </w:pPr>
            <w:r>
              <w:rPr>
                <w:rFonts w:ascii="Arial" w:hAnsi="Arial"/>
                <w:b/>
                <w:color w:val="FFFFFF"/>
                <w:sz w:val="16"/>
              </w:rPr>
              <w:t>Betekenis</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begrazingsperiode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gebeurtenis_id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 + FK → beheergebeurtenis</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Begrazing is het enige nu uitgewerkte subtype.</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begrazingsperiode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regime_code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FK → referentielijst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Jaarrond, seizoen, druk, wissel, zwerf of anders.</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begrazingsperiode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plan_begin/eind, werkelijk_begin/eind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datumvelden</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Maakt vertraging en afwijking analyseerbaar.</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fase_id, gebeurtenis_id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 + FK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Opeenvolgend homogeen tijdvak.</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begin_tijd, eind_tijd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Geen overlap binnen dezelfde periode.</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fase_type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Begrazing of expliciete onderbreking.</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toegankelijke_geometrie, netto_ha</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Feitelijk bereikbaar vlak; exclosures uitgesloten.</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reden_wijziging, zekerheidsstatus</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Waarom nieuwe fase; gemeten, bevestigd of geschat.</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grazercategorie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grazercategorie_id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Categorie waarop GVE en telling worden gebaseerd.</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grazercategorie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soort, ras, geslacht, leeftijdsklasse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 indien relevant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Exacte kuddesamenstelling.</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grazercategorie</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gewichtsklasse_kg, graastype</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optioneel</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Grazer/browser/intermediair en lichaamsmassa.</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gve_norm</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gve_norm_id, grazercategorie_id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 + FK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Versie van de toegepaste norm.</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gve_norm</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gve_factor, geldig_van/tot, bron</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Historische berekening blijft reproduceerbaar.</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kudde_inzet</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inzet_id, fase_id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 + FK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Eén categorie binnen één fase.</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kudde_inzet</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grazercategorie_id, gve_norm_id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FK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Verwijst naar categorie en norm.</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kudde_inzet</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aantal_dieren, aantal_status</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Geteld, administratief bevestigd of geschat.</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kudde_inzet</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gve_totaal, gve_dagen, veebezetting_gve_ha_jaar</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afgeleid</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Berekenbaar uit ruwe waarden; niet handmatig overschrijven.</w:t>
            </w:r>
          </w:p>
        </w:tc>
      </w:tr>
    </w:tbl>
    <w:p>
      <w:pPr>
        <w:spacing w:after="40"/>
      </w:pPr>
    </w:p>
    <w:p>
      <w:pPr>
        <w:pStyle w:val="Heading2"/>
        <w:keepNext/>
      </w:pPr>
      <w:r>
        <w:t>6.3 Werkelijkheid, voorzieningen en ruimtelijk gebruik</w:t>
      </w:r>
    </w:p>
    <w:tbl>
      <w:tblPr>
        <w:tblStyle w:val="TableGrid"/>
        <w:tblW w:type="dxa" w:w="9360"/>
        <w:jc w:val="left"/>
        <w:tblLayout w:type="fixed"/>
        <w:tblLook w:firstColumn="1" w:firstRow="1" w:lastColumn="0" w:lastRow="0" w:noHBand="0" w:noVBand="1" w:val="04A0"/>
        <w:tblInd w:w="120" w:type="dxa"/>
      </w:tblPr>
      <w:tblGrid>
        <w:gridCol w:w="1700"/>
        <w:gridCol w:w="2550"/>
        <w:gridCol w:w="1900"/>
        <w:gridCol w:w="3210"/>
      </w:tblGrid>
      <w:tr>
        <w:trPr>
          <w:tblHeader w:val="true"/>
          <w:cantSplit w:val="true"/>
        </w:trPr>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Tabel</w:t>
            </w:r>
          </w:p>
        </w:tc>
        <w:tc>
          <w:tcPr>
            <w:tcW w:type="dxa" w:w="2550"/>
            <w:shd w:fill="245A78"/>
            <w:tcMar>
              <w:top w:w="90" w:type="dxa"/>
              <w:start w:w="120" w:type="dxa"/>
              <w:bottom w:w="90" w:type="dxa"/>
              <w:end w:w="120" w:type="dxa"/>
            </w:tcMar>
            <w:vAlign w:val="center"/>
          </w:tcPr>
          <w:p>
            <w:pPr>
              <w:spacing w:after="0"/>
            </w:pPr>
            <w:r>
              <w:rPr>
                <w:rFonts w:ascii="Arial" w:hAnsi="Arial"/>
                <w:b/>
                <w:color w:val="FFFFFF"/>
                <w:sz w:val="16"/>
              </w:rPr>
              <w:t>Kolom(men)</w:t>
            </w:r>
          </w:p>
        </w:tc>
        <w:tc>
          <w:tcPr>
            <w:tcW w:type="dxa" w:w="1900"/>
            <w:shd w:fill="245A78"/>
            <w:tcMar>
              <w:top w:w="90" w:type="dxa"/>
              <w:start w:w="120" w:type="dxa"/>
              <w:bottom w:w="90" w:type="dxa"/>
              <w:end w:w="120" w:type="dxa"/>
            </w:tcMar>
            <w:vAlign w:val="center"/>
          </w:tcPr>
          <w:p>
            <w:pPr>
              <w:spacing w:after="0"/>
            </w:pPr>
            <w:r>
              <w:rPr>
                <w:rFonts w:ascii="Arial" w:hAnsi="Arial"/>
                <w:b/>
                <w:color w:val="FFFFFF"/>
                <w:sz w:val="16"/>
              </w:rPr>
              <w:t>Sleutel/regel</w:t>
            </w:r>
          </w:p>
        </w:tc>
        <w:tc>
          <w:tcPr>
            <w:tcW w:type="dxa" w:w="3210"/>
            <w:shd w:fill="245A78"/>
            <w:tcMar>
              <w:top w:w="90" w:type="dxa"/>
              <w:start w:w="120" w:type="dxa"/>
              <w:bottom w:w="90" w:type="dxa"/>
              <w:end w:w="120" w:type="dxa"/>
            </w:tcMar>
            <w:vAlign w:val="center"/>
          </w:tcPr>
          <w:p>
            <w:pPr>
              <w:spacing w:after="0"/>
            </w:pPr>
            <w:r>
              <w:rPr>
                <w:rFonts w:ascii="Arial" w:hAnsi="Arial"/>
                <w:b/>
                <w:color w:val="FFFFFF"/>
                <w:sz w:val="16"/>
              </w:rPr>
              <w:t>Betekenis</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uitvoeringsafwijking</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afwijking_id, fase_id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 + FK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Koppeling aan getroffen fase.</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uitvoeringsafwijking</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type, begin/eind, geometrie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Achtergebleven dier, open hek, niet-uitgevoerde uitsluiting enz.</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uitvoeringsafwijking</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verwacht, werkelijk, oorzaak, impact</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Controleerbare beschrijving; geen verborgen voetnoot.</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begrazingsvoorziening</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voorziening_id, type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PK + code</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Waterpunt, poort, voerplaats, vangweide, raster.</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begrazingsvoorziening</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geometrie, geldig_van/tot</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Ligging en geldigheid; beïnvloedt terreingebruik.</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gps_observatie</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apparaat_id/dier_id, meet_tijd, positie</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samengestelde UK</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Optionele puntreeks met nauwkeurigheid.</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gebruiksraster</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fase_id, celgeometrie, gebruiksmaat</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FK + spatial</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Afgeleid product uit GPS; bronmethode en resolutie bewaren.</w:t>
            </w:r>
          </w:p>
        </w:tc>
      </w:tr>
    </w:tbl>
    <w:p>
      <w:pPr>
        <w:spacing w:after="40"/>
      </w:pPr>
    </w:p>
    <w:p>
      <w:pPr>
        <w:pStyle w:val="Heading2"/>
        <w:keepNext/>
      </w:pPr>
      <w:r>
        <w:t>6.4 Neutraal koppelvlak voor toekomstige verbindingen</w:t>
      </w:r>
    </w:p>
    <w:tbl>
      <w:tblPr>
        <w:tblStyle w:val="TableGrid"/>
        <w:tblW w:type="dxa" w:w="9360"/>
        <w:jc w:val="left"/>
        <w:tblLayout w:type="fixed"/>
        <w:tblLook w:firstColumn="1" w:firstRow="1" w:lastColumn="0" w:lastRow="0" w:noHBand="0" w:noVBand="1" w:val="04A0"/>
        <w:tblInd w:w="120" w:type="dxa"/>
      </w:tblPr>
      <w:tblGrid>
        <w:gridCol w:w="1700"/>
        <w:gridCol w:w="2550"/>
        <w:gridCol w:w="1900"/>
        <w:gridCol w:w="3210"/>
      </w:tblGrid>
      <w:tr>
        <w:trPr>
          <w:tblHeader w:val="true"/>
          <w:cantSplit w:val="true"/>
        </w:trPr>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Tabel</w:t>
            </w:r>
          </w:p>
        </w:tc>
        <w:tc>
          <w:tcPr>
            <w:tcW w:type="dxa" w:w="2550"/>
            <w:shd w:fill="245A78"/>
            <w:tcMar>
              <w:top w:w="90" w:type="dxa"/>
              <w:start w:w="120" w:type="dxa"/>
              <w:bottom w:w="90" w:type="dxa"/>
              <w:end w:w="120" w:type="dxa"/>
            </w:tcMar>
            <w:vAlign w:val="center"/>
          </w:tcPr>
          <w:p>
            <w:pPr>
              <w:spacing w:after="0"/>
            </w:pPr>
            <w:r>
              <w:rPr>
                <w:rFonts w:ascii="Arial" w:hAnsi="Arial"/>
                <w:b/>
                <w:color w:val="FFFFFF"/>
                <w:sz w:val="16"/>
              </w:rPr>
              <w:t>Kolom(men)</w:t>
            </w:r>
          </w:p>
        </w:tc>
        <w:tc>
          <w:tcPr>
            <w:tcW w:type="dxa" w:w="1900"/>
            <w:shd w:fill="245A78"/>
            <w:tcMar>
              <w:top w:w="90" w:type="dxa"/>
              <w:start w:w="120" w:type="dxa"/>
              <w:bottom w:w="90" w:type="dxa"/>
              <w:end w:w="120" w:type="dxa"/>
            </w:tcMar>
            <w:vAlign w:val="center"/>
          </w:tcPr>
          <w:p>
            <w:pPr>
              <w:spacing w:after="0"/>
            </w:pPr>
            <w:r>
              <w:rPr>
                <w:rFonts w:ascii="Arial" w:hAnsi="Arial"/>
                <w:b/>
                <w:color w:val="FFFFFF"/>
                <w:sz w:val="16"/>
              </w:rPr>
              <w:t>Sleutel/regel</w:t>
            </w:r>
          </w:p>
        </w:tc>
        <w:tc>
          <w:tcPr>
            <w:tcW w:type="dxa" w:w="3210"/>
            <w:shd w:fill="245A78"/>
            <w:tcMar>
              <w:top w:w="90" w:type="dxa"/>
              <w:start w:w="120" w:type="dxa"/>
              <w:bottom w:w="90" w:type="dxa"/>
              <w:end w:w="120" w:type="dxa"/>
            </w:tcMar>
            <w:vAlign w:val="center"/>
          </w:tcPr>
          <w:p>
            <w:pPr>
              <w:spacing w:after="0"/>
            </w:pPr>
            <w:r>
              <w:rPr>
                <w:rFonts w:ascii="Arial" w:hAnsi="Arial"/>
                <w:b/>
                <w:color w:val="FFFFFF"/>
                <w:sz w:val="16"/>
              </w:rPr>
              <w:t>Betekenis</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externe_koppeling</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koppeling_id</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PK</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Technische verwijzing; bevat geen externe inhoud.</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externe_koppeling</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entiteitstype, entiteit_id</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Verwijst naar beheergebied, gebiedsversie, periode of fase.</w:t>
            </w:r>
          </w:p>
        </w:tc>
      </w:tr>
      <w:tr>
        <w:trPr>
          <w:cantSplit w:val="true"/>
        </w:trPr>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externe_koppeling</w:t>
            </w:r>
          </w:p>
        </w:tc>
        <w:tc>
          <w:tcPr>
            <w:tcW w:type="dxa" w:w="2550"/>
            <w:tcMar>
              <w:top w:w="90" w:type="dxa"/>
              <w:start w:w="120" w:type="dxa"/>
              <w:bottom w:w="90" w:type="dxa"/>
              <w:end w:w="120" w:type="dxa"/>
            </w:tcMar>
            <w:vAlign w:val="center"/>
          </w:tcPr>
          <w:p>
            <w:pPr>
              <w:spacing w:after="0" w:line="240" w:lineRule="auto"/>
            </w:pPr>
            <w:r>
              <w:rPr>
                <w:rFonts w:ascii="Arial" w:hAnsi="Arial"/>
                <w:color w:val="202124"/>
                <w:sz w:val="16"/>
              </w:rPr>
              <w:t>bronsysteem, externe_sleutel</w:t>
            </w:r>
          </w:p>
        </w:tc>
        <w:tc>
          <w:tcPr>
            <w:tcW w:type="dxa" w:w="1900"/>
            <w:tcMar>
              <w:top w:w="90" w:type="dxa"/>
              <w:start w:w="120" w:type="dxa"/>
              <w:bottom w:w="90" w:type="dxa"/>
              <w:end w:w="120" w:type="dxa"/>
            </w:tcMar>
            <w:vAlign w:val="center"/>
          </w:tcPr>
          <w:p>
            <w:pPr>
              <w:spacing w:after="0" w:line="240" w:lineRule="auto"/>
            </w:pPr>
            <w:r>
              <w:rPr>
                <w:rFonts w:ascii="Arial" w:hAnsi="Arial"/>
                <w:color w:val="202124"/>
                <w:sz w:val="16"/>
              </w:rPr>
              <w:t>UK per bronsysteem</w:t>
            </w:r>
          </w:p>
        </w:tc>
        <w:tc>
          <w:tcPr>
            <w:tcW w:type="dxa" w:w="3210"/>
            <w:tcMar>
              <w:top w:w="90" w:type="dxa"/>
              <w:start w:w="120" w:type="dxa"/>
              <w:bottom w:w="90" w:type="dxa"/>
              <w:end w:w="120" w:type="dxa"/>
            </w:tcMar>
            <w:vAlign w:val="center"/>
          </w:tcPr>
          <w:p>
            <w:pPr>
              <w:spacing w:after="0" w:line="240" w:lineRule="auto"/>
            </w:pPr>
            <w:r>
              <w:rPr>
                <w:rFonts w:ascii="Arial" w:hAnsi="Arial"/>
                <w:color w:val="202124"/>
                <w:sz w:val="16"/>
              </w:rPr>
              <w:t>Maakt latere aansluiting mogelijk zonder bronsleutels in kerntabellen.</w:t>
            </w:r>
          </w:p>
        </w:tc>
      </w:tr>
      <w:tr>
        <w:trPr>
          <w:cantSplit w:val="true"/>
        </w:trPr>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externe_koppeling</w:t>
            </w:r>
          </w:p>
        </w:tc>
        <w:tc>
          <w:tcPr>
            <w:tcW w:type="dxa" w:w="2550"/>
            <w:shd w:fill="F8FAFB"/>
            <w:tcMar>
              <w:top w:w="90" w:type="dxa"/>
              <w:start w:w="120" w:type="dxa"/>
              <w:bottom w:w="90" w:type="dxa"/>
              <w:end w:w="120" w:type="dxa"/>
            </w:tcMar>
            <w:vAlign w:val="center"/>
          </w:tcPr>
          <w:p>
            <w:pPr>
              <w:spacing w:after="0" w:line="240" w:lineRule="auto"/>
            </w:pPr>
            <w:r>
              <w:rPr>
                <w:rFonts w:ascii="Arial" w:hAnsi="Arial"/>
                <w:color w:val="202124"/>
                <w:sz w:val="16"/>
              </w:rPr>
              <w:t>geldig_van/tot, bron, status</w:t>
            </w:r>
          </w:p>
        </w:tc>
        <w:tc>
          <w:tcPr>
            <w:tcW w:type="dxa" w:w="1900"/>
            <w:shd w:fill="F8FAFB"/>
            <w:tcMar>
              <w:top w:w="90" w:type="dxa"/>
              <w:start w:w="120" w:type="dxa"/>
              <w:bottom w:w="90" w:type="dxa"/>
              <w:end w:w="120" w:type="dxa"/>
            </w:tcMar>
            <w:vAlign w:val="center"/>
          </w:tcPr>
          <w:p>
            <w:pPr>
              <w:spacing w:after="0" w:line="240" w:lineRule="auto"/>
            </w:pPr>
            <w:r>
              <w:rPr>
                <w:rFonts w:ascii="Arial" w:hAnsi="Arial"/>
                <w:color w:val="202124"/>
                <w:sz w:val="16"/>
              </w:rPr>
              <w:t>verplicht/optioneel</w:t>
            </w:r>
          </w:p>
        </w:tc>
        <w:tc>
          <w:tcPr>
            <w:tcW w:type="dxa" w:w="3210"/>
            <w:shd w:fill="F8FAFB"/>
            <w:tcMar>
              <w:top w:w="90" w:type="dxa"/>
              <w:start w:w="120" w:type="dxa"/>
              <w:bottom w:w="90" w:type="dxa"/>
              <w:end w:w="120" w:type="dxa"/>
            </w:tcMar>
            <w:vAlign w:val="center"/>
          </w:tcPr>
          <w:p>
            <w:pPr>
              <w:spacing w:after="0" w:line="240" w:lineRule="auto"/>
            </w:pPr>
            <w:r>
              <w:rPr>
                <w:rFonts w:ascii="Arial" w:hAnsi="Arial"/>
                <w:color w:val="202124"/>
                <w:sz w:val="16"/>
              </w:rPr>
              <w:t>Versieerbare en controleerbare koppeling.</w:t>
            </w:r>
          </w:p>
        </w:tc>
      </w:tr>
    </w:tbl>
    <w:p>
      <w:pPr>
        <w:spacing w:after="40"/>
      </w:pPr>
    </w:p>
    <w:p>
      <w:pPr>
        <w:pStyle w:val="Heading1"/>
        <w:keepNext/>
      </w:pPr>
      <w:r>
        <w:t>7. Belangrijkste relaties en cardinaliteiten</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val="true"/>
        </w:trPr>
        <w:tc>
          <w:tcPr>
            <w:tcW w:type="dxa" w:w="3400"/>
            <w:shd w:fill="245A78"/>
            <w:tcMar>
              <w:top w:w="90" w:type="dxa"/>
              <w:start w:w="120" w:type="dxa"/>
              <w:bottom w:w="90" w:type="dxa"/>
              <w:end w:w="120" w:type="dxa"/>
            </w:tcMar>
            <w:vAlign w:val="center"/>
          </w:tcPr>
          <w:p>
            <w:pPr>
              <w:spacing w:after="0"/>
            </w:pPr>
            <w:r>
              <w:rPr>
                <w:rFonts w:ascii="Arial" w:hAnsi="Arial"/>
                <w:b/>
                <w:color w:val="FFFFFF"/>
                <w:sz w:val="18"/>
              </w:rPr>
              <w:t>Relatie</w:t>
            </w:r>
          </w:p>
        </w:tc>
        <w:tc>
          <w:tcPr>
            <w:tcW w:type="dxa" w:w="5960"/>
            <w:shd w:fill="245A78"/>
            <w:tcMar>
              <w:top w:w="90" w:type="dxa"/>
              <w:start w:w="120" w:type="dxa"/>
              <w:bottom w:w="90" w:type="dxa"/>
              <w:end w:w="120" w:type="dxa"/>
            </w:tcMar>
            <w:vAlign w:val="center"/>
          </w:tcPr>
          <w:p>
            <w:pPr>
              <w:spacing w:after="0"/>
            </w:pPr>
            <w:r>
              <w:rPr>
                <w:rFonts w:ascii="Arial" w:hAnsi="Arial"/>
                <w:b/>
                <w:color w:val="FFFFFF"/>
                <w:sz w:val="18"/>
              </w:rPr>
              <w:t>Functionele betekenis</w:t>
            </w:r>
          </w:p>
        </w:tc>
      </w:tr>
      <w:tr>
        <w:trPr>
          <w:cantSplit w:val="true"/>
        </w:trPr>
        <w:tc>
          <w:tcPr>
            <w:tcW w:type="dxa" w:w="3400"/>
            <w:tcMar>
              <w:top w:w="90" w:type="dxa"/>
              <w:start w:w="120" w:type="dxa"/>
              <w:bottom w:w="90" w:type="dxa"/>
              <w:end w:w="120" w:type="dxa"/>
            </w:tcMar>
            <w:vAlign w:val="center"/>
          </w:tcPr>
          <w:p>
            <w:pPr>
              <w:spacing w:after="0" w:line="240" w:lineRule="auto"/>
            </w:pPr>
            <w:r>
              <w:rPr>
                <w:rFonts w:ascii="Arial" w:hAnsi="Arial"/>
                <w:color w:val="202124"/>
                <w:sz w:val="18"/>
              </w:rPr>
              <w:t>beheergebied 1 — N gebiedsversie</w:t>
            </w:r>
          </w:p>
        </w:tc>
        <w:tc>
          <w:tcPr>
            <w:tcW w:type="dxa" w:w="5960"/>
            <w:tcMar>
              <w:top w:w="90" w:type="dxa"/>
              <w:start w:w="120" w:type="dxa"/>
              <w:bottom w:w="90" w:type="dxa"/>
              <w:end w:w="120" w:type="dxa"/>
            </w:tcMar>
            <w:vAlign w:val="center"/>
          </w:tcPr>
          <w:p>
            <w:pPr>
              <w:spacing w:after="0" w:line="240" w:lineRule="auto"/>
            </w:pPr>
            <w:r>
              <w:rPr>
                <w:rFonts w:ascii="Arial" w:hAnsi="Arial"/>
                <w:color w:val="202124"/>
                <w:sz w:val="18"/>
              </w:rPr>
              <w:t>Een identiteit kan achtereenvolgens meerdere begrenzingen hebben.</w:t>
            </w:r>
          </w:p>
        </w:tc>
      </w:tr>
      <w:tr>
        <w:trPr>
          <w:cantSplit w:val="true"/>
        </w:trPr>
        <w:tc>
          <w:tcPr>
            <w:tcW w:type="dxa" w:w="3400"/>
            <w:shd w:fill="F8FAFB"/>
            <w:tcMar>
              <w:top w:w="90" w:type="dxa"/>
              <w:start w:w="120" w:type="dxa"/>
              <w:bottom w:w="90" w:type="dxa"/>
              <w:end w:w="120" w:type="dxa"/>
            </w:tcMar>
            <w:vAlign w:val="center"/>
          </w:tcPr>
          <w:p>
            <w:pPr>
              <w:spacing w:after="0" w:line="240" w:lineRule="auto"/>
            </w:pPr>
            <w:r>
              <w:rPr>
                <w:rFonts w:ascii="Arial" w:hAnsi="Arial"/>
                <w:color w:val="202124"/>
                <w:sz w:val="18"/>
              </w:rPr>
              <w:t>begrazingsperiode N — M gebiedsversie</w:t>
            </w:r>
          </w:p>
        </w:tc>
        <w:tc>
          <w:tcPr>
            <w:tcW w:type="dxa" w:w="5960"/>
            <w:shd w:fill="F8FAFB"/>
            <w:tcMar>
              <w:top w:w="90" w:type="dxa"/>
              <w:start w:w="120" w:type="dxa"/>
              <w:bottom w:w="90" w:type="dxa"/>
              <w:end w:w="120" w:type="dxa"/>
            </w:tcMar>
            <w:vAlign w:val="center"/>
          </w:tcPr>
          <w:p>
            <w:pPr>
              <w:spacing w:after="0" w:line="240" w:lineRule="auto"/>
            </w:pPr>
            <w:r>
              <w:rPr>
                <w:rFonts w:ascii="Arial" w:hAnsi="Arial"/>
                <w:color w:val="202124"/>
                <w:sz w:val="18"/>
              </w:rPr>
              <w:t>Via begrazingsgebied; één periode kan meerdere vlakken omvatten.</w:t>
            </w:r>
          </w:p>
        </w:tc>
      </w:tr>
      <w:tr>
        <w:trPr>
          <w:cantSplit w:val="true"/>
        </w:trPr>
        <w:tc>
          <w:tcPr>
            <w:tcW w:type="dxa" w:w="3400"/>
            <w:tcMar>
              <w:top w:w="90" w:type="dxa"/>
              <w:start w:w="120" w:type="dxa"/>
              <w:bottom w:w="90" w:type="dxa"/>
              <w:end w:w="120" w:type="dxa"/>
            </w:tcMar>
            <w:vAlign w:val="center"/>
          </w:tcPr>
          <w:p>
            <w:pPr>
              <w:spacing w:after="0" w:line="240" w:lineRule="auto"/>
            </w:pPr>
            <w:r>
              <w:rPr>
                <w:rFonts w:ascii="Arial" w:hAnsi="Arial"/>
                <w:color w:val="202124"/>
                <w:sz w:val="18"/>
              </w:rPr>
              <w:t>beheergebeurtenis 1 — 0/1 begrazingsperiode</w:t>
            </w:r>
          </w:p>
        </w:tc>
        <w:tc>
          <w:tcPr>
            <w:tcW w:type="dxa" w:w="5960"/>
            <w:tcMar>
              <w:top w:w="90" w:type="dxa"/>
              <w:start w:w="120" w:type="dxa"/>
              <w:bottom w:w="90" w:type="dxa"/>
              <w:end w:w="120" w:type="dxa"/>
            </w:tcMar>
            <w:vAlign w:val="center"/>
          </w:tcPr>
          <w:p>
            <w:pPr>
              <w:spacing w:after="0" w:line="240" w:lineRule="auto"/>
            </w:pPr>
            <w:r>
              <w:rPr>
                <w:rFonts w:ascii="Arial" w:hAnsi="Arial"/>
                <w:color w:val="202124"/>
                <w:sz w:val="18"/>
              </w:rPr>
              <w:t>Begrazing is in deze fase het enige uitgewerkte subtype.</w:t>
            </w:r>
          </w:p>
        </w:tc>
      </w:tr>
      <w:tr>
        <w:trPr>
          <w:cantSplit w:val="true"/>
        </w:trPr>
        <w:tc>
          <w:tcPr>
            <w:tcW w:type="dxa" w:w="3400"/>
            <w:shd w:fill="F8FAFB"/>
            <w:tcMar>
              <w:top w:w="90" w:type="dxa"/>
              <w:start w:w="120" w:type="dxa"/>
              <w:bottom w:w="90" w:type="dxa"/>
              <w:end w:w="120" w:type="dxa"/>
            </w:tcMar>
            <w:vAlign w:val="center"/>
          </w:tcPr>
          <w:p>
            <w:pPr>
              <w:spacing w:after="0" w:line="240" w:lineRule="auto"/>
            </w:pPr>
            <w:r>
              <w:rPr>
                <w:rFonts w:ascii="Arial" w:hAnsi="Arial"/>
                <w:color w:val="202124"/>
                <w:sz w:val="18"/>
              </w:rPr>
              <w:t>begrazingsperiode 1 — N begrazingsfase</w:t>
            </w:r>
          </w:p>
        </w:tc>
        <w:tc>
          <w:tcPr>
            <w:tcW w:type="dxa" w:w="5960"/>
            <w:shd w:fill="F8FAFB"/>
            <w:tcMar>
              <w:top w:w="90" w:type="dxa"/>
              <w:start w:w="120" w:type="dxa"/>
              <w:bottom w:w="90" w:type="dxa"/>
              <w:end w:w="120" w:type="dxa"/>
            </w:tcMar>
            <w:vAlign w:val="center"/>
          </w:tcPr>
          <w:p>
            <w:pPr>
              <w:spacing w:after="0" w:line="240" w:lineRule="auto"/>
            </w:pPr>
            <w:r>
              <w:rPr>
                <w:rFonts w:ascii="Arial" w:hAnsi="Arial"/>
                <w:color w:val="202124"/>
                <w:sz w:val="18"/>
              </w:rPr>
              <w:t>Minstens één fase; fasen overlappen niet.</w:t>
            </w:r>
          </w:p>
        </w:tc>
      </w:tr>
      <w:tr>
        <w:trPr>
          <w:cantSplit w:val="true"/>
        </w:trPr>
        <w:tc>
          <w:tcPr>
            <w:tcW w:type="dxa" w:w="3400"/>
            <w:tcMar>
              <w:top w:w="90" w:type="dxa"/>
              <w:start w:w="120" w:type="dxa"/>
              <w:bottom w:w="90" w:type="dxa"/>
              <w:end w:w="120" w:type="dxa"/>
            </w:tcMar>
            <w:vAlign w:val="center"/>
          </w:tcPr>
          <w:p>
            <w:pPr>
              <w:spacing w:after="0" w:line="240" w:lineRule="auto"/>
            </w:pPr>
            <w:r>
              <w:rPr>
                <w:rFonts w:ascii="Arial" w:hAnsi="Arial"/>
                <w:color w:val="202124"/>
                <w:sz w:val="18"/>
              </w:rPr>
              <w:t>begrazingsfase 1 — N kudde_inzet</w:t>
            </w:r>
          </w:p>
        </w:tc>
        <w:tc>
          <w:tcPr>
            <w:tcW w:type="dxa" w:w="5960"/>
            <w:tcMar>
              <w:top w:w="90" w:type="dxa"/>
              <w:start w:w="120" w:type="dxa"/>
              <w:bottom w:w="90" w:type="dxa"/>
              <w:end w:w="120" w:type="dxa"/>
            </w:tcMar>
            <w:vAlign w:val="center"/>
          </w:tcPr>
          <w:p>
            <w:pPr>
              <w:spacing w:after="0" w:line="240" w:lineRule="auto"/>
            </w:pPr>
            <w:r>
              <w:rPr>
                <w:rFonts w:ascii="Arial" w:hAnsi="Arial"/>
                <w:color w:val="202124"/>
                <w:sz w:val="18"/>
              </w:rPr>
              <w:t>Een begrazingsfase heeft één of meer categorieën; een onderbreking geen.</w:t>
            </w:r>
          </w:p>
        </w:tc>
      </w:tr>
      <w:tr>
        <w:trPr>
          <w:cantSplit w:val="true"/>
        </w:trPr>
        <w:tc>
          <w:tcPr>
            <w:tcW w:type="dxa" w:w="3400"/>
            <w:shd w:fill="F8FAFB"/>
            <w:tcMar>
              <w:top w:w="90" w:type="dxa"/>
              <w:start w:w="120" w:type="dxa"/>
              <w:bottom w:w="90" w:type="dxa"/>
              <w:end w:w="120" w:type="dxa"/>
            </w:tcMar>
            <w:vAlign w:val="center"/>
          </w:tcPr>
          <w:p>
            <w:pPr>
              <w:spacing w:after="0" w:line="240" w:lineRule="auto"/>
            </w:pPr>
            <w:r>
              <w:rPr>
                <w:rFonts w:ascii="Arial" w:hAnsi="Arial"/>
                <w:color w:val="202124"/>
                <w:sz w:val="18"/>
              </w:rPr>
              <w:t>begrazingsfase 1 — N uitvoeringsafwijking</w:t>
            </w:r>
          </w:p>
        </w:tc>
        <w:tc>
          <w:tcPr>
            <w:tcW w:type="dxa" w:w="5960"/>
            <w:shd w:fill="F8FAFB"/>
            <w:tcMar>
              <w:top w:w="90" w:type="dxa"/>
              <w:start w:w="120" w:type="dxa"/>
              <w:bottom w:w="90" w:type="dxa"/>
              <w:end w:w="120" w:type="dxa"/>
            </w:tcMar>
            <w:vAlign w:val="center"/>
          </w:tcPr>
          <w:p>
            <w:pPr>
              <w:spacing w:after="0" w:line="240" w:lineRule="auto"/>
            </w:pPr>
            <w:r>
              <w:rPr>
                <w:rFonts w:ascii="Arial" w:hAnsi="Arial"/>
                <w:color w:val="202124"/>
                <w:sz w:val="18"/>
              </w:rPr>
              <w:t>Afwijkingen zijn optioneel maar tijd- en plaatsgebonden.</w:t>
            </w:r>
          </w:p>
        </w:tc>
      </w:tr>
      <w:tr>
        <w:trPr>
          <w:cantSplit w:val="true"/>
        </w:trPr>
        <w:tc>
          <w:tcPr>
            <w:tcW w:type="dxa" w:w="3400"/>
            <w:tcMar>
              <w:top w:w="90" w:type="dxa"/>
              <w:start w:w="120" w:type="dxa"/>
              <w:bottom w:w="90" w:type="dxa"/>
              <w:end w:w="120" w:type="dxa"/>
            </w:tcMar>
            <w:vAlign w:val="center"/>
          </w:tcPr>
          <w:p>
            <w:pPr>
              <w:spacing w:after="0" w:line="240" w:lineRule="auto"/>
            </w:pPr>
            <w:r>
              <w:rPr>
                <w:rFonts w:ascii="Arial" w:hAnsi="Arial"/>
                <w:color w:val="202124"/>
                <w:sz w:val="18"/>
              </w:rPr>
              <w:t>grazercategorie 1 — N gve_norm</w:t>
            </w:r>
          </w:p>
        </w:tc>
        <w:tc>
          <w:tcPr>
            <w:tcW w:type="dxa" w:w="5960"/>
            <w:tcMar>
              <w:top w:w="90" w:type="dxa"/>
              <w:start w:w="120" w:type="dxa"/>
              <w:bottom w:w="90" w:type="dxa"/>
              <w:end w:w="120" w:type="dxa"/>
            </w:tcMar>
            <w:vAlign w:val="center"/>
          </w:tcPr>
          <w:p>
            <w:pPr>
              <w:spacing w:after="0" w:line="240" w:lineRule="auto"/>
            </w:pPr>
            <w:r>
              <w:rPr>
                <w:rFonts w:ascii="Arial" w:hAnsi="Arial"/>
                <w:color w:val="202124"/>
                <w:sz w:val="18"/>
              </w:rPr>
              <w:t>Normwijzigingen worden historisch als nieuwe versie vastgelegd.</w:t>
            </w:r>
          </w:p>
        </w:tc>
      </w:tr>
      <w:tr>
        <w:trPr>
          <w:cantSplit w:val="true"/>
        </w:trPr>
        <w:tc>
          <w:tcPr>
            <w:tcW w:type="dxa" w:w="3400"/>
            <w:shd w:fill="F8FAFB"/>
            <w:tcMar>
              <w:top w:w="90" w:type="dxa"/>
              <w:start w:w="120" w:type="dxa"/>
              <w:bottom w:w="90" w:type="dxa"/>
              <w:end w:w="120" w:type="dxa"/>
            </w:tcMar>
            <w:vAlign w:val="center"/>
          </w:tcPr>
          <w:p>
            <w:pPr>
              <w:spacing w:after="0" w:line="240" w:lineRule="auto"/>
            </w:pPr>
            <w:r>
              <w:rPr>
                <w:rFonts w:ascii="Arial" w:hAnsi="Arial"/>
                <w:color w:val="202124"/>
                <w:sz w:val="18"/>
              </w:rPr>
              <w:t>kernentiteit 1 — N externe_koppeling</w:t>
            </w:r>
          </w:p>
        </w:tc>
        <w:tc>
          <w:tcPr>
            <w:tcW w:type="dxa" w:w="5960"/>
            <w:shd w:fill="F8FAFB"/>
            <w:tcMar>
              <w:top w:w="90" w:type="dxa"/>
              <w:start w:w="120" w:type="dxa"/>
              <w:bottom w:w="90" w:type="dxa"/>
              <w:end w:w="120" w:type="dxa"/>
            </w:tcMar>
            <w:vAlign w:val="center"/>
          </w:tcPr>
          <w:p>
            <w:pPr>
              <w:spacing w:after="0" w:line="240" w:lineRule="auto"/>
            </w:pPr>
            <w:r>
              <w:rPr>
                <w:rFonts w:ascii="Arial" w:hAnsi="Arial"/>
                <w:color w:val="202124"/>
                <w:sz w:val="18"/>
              </w:rPr>
              <w:t>Een gebied, periode of fase kan meerdere externe sleutels hebben.</w:t>
            </w:r>
          </w:p>
        </w:tc>
      </w:tr>
    </w:tbl>
    <w:p>
      <w:pPr>
        <w:spacing w:after="40"/>
      </w:pPr>
    </w:p>
    <w:p>
      <w:pPr>
        <w:pStyle w:val="Heading1"/>
        <w:keepNext/>
      </w:pPr>
      <w:r>
        <w:t>8. Berekeningen</w:t>
      </w:r>
    </w:p>
    <w:p>
      <w:pPr>
        <w:pStyle w:val="Heading2"/>
        <w:keepNext/>
      </w:pPr>
      <w:r>
        <w:t>8.1 Veebezetting per fase</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AF2F6"/>
          </w:tcPr>
          <w:p>
            <w:pPr>
              <w:spacing w:after="0"/>
            </w:pPr>
            <w:r>
              <w:rPr>
                <w:rFonts w:ascii="Arial" w:hAnsi="Arial"/>
                <w:b/>
                <w:color w:val="183847"/>
                <w:sz w:val="21"/>
              </w:rPr>
              <w:t xml:space="preserve">Formule: </w:t>
            </w:r>
            <w:r>
              <w:rPr>
                <w:rFonts w:ascii="Arial" w:hAnsi="Arial"/>
                <w:color w:val="202124"/>
                <w:sz w:val="21"/>
              </w:rPr>
              <w:t>totaal_GVE = som(aantal_dieren × geldige_GVE_factor). GVE_dagen = totaal_GVE × aantal_graasdagen. veebezetting_GVE_ha_jaar = GVE_dagen ÷ netto_toegankelijke_hectares ÷ 365.</w:t>
            </w:r>
          </w:p>
        </w:tc>
      </w:tr>
    </w:tbl>
    <w:p>
      <w:pPr>
        <w:spacing w:after="40"/>
      </w:pPr>
    </w:p>
    <w:p>
      <w:pPr>
        <w:spacing w:after="120" w:line="264" w:lineRule="auto"/>
      </w:pPr>
      <w:r>
        <w:rPr>
          <w:rFonts w:ascii="Arial" w:hAnsi="Arial"/>
          <w:i w:val="0"/>
          <w:color w:val="202124"/>
          <w:sz w:val="21"/>
        </w:rPr>
        <w:t>Bewaar altijd de vier invoercomponenten: aantal, norm, dagen en hectares. Een berekende seizoenswaarde mag worden opgeslagen als gecontroleerde afleiding, maar nooit als enige bronwaarde.</w:t>
      </w:r>
    </w:p>
    <w:p>
      <w:pPr>
        <w:pStyle w:val="Heading2"/>
        <w:keepNext/>
      </w:pPr>
      <w:r>
        <w:t>8.2 Waarom dit geen volledige graasdruk is</w:t>
      </w:r>
    </w:p>
    <w:p>
      <w:pPr>
        <w:spacing w:after="120" w:line="264" w:lineRule="auto"/>
      </w:pPr>
      <w:r>
        <w:rPr>
          <w:rFonts w:ascii="Arial" w:hAnsi="Arial"/>
          <w:i w:val="0"/>
          <w:color w:val="202124"/>
          <w:sz w:val="21"/>
        </w:rPr>
        <w:t>De berekening beschrijft de administratieve veebezetting, niet hoeveel daadwerkelijk is gegeten. Noem het veld daarom veebezetting_gve_ha_jaar. Een eventuele toekomstige, extern bepaalde graasdrukmaat kan via een koppelsleutel worden verbonden; zij behoort nu niet tot dit model.</w:t>
      </w:r>
    </w:p>
    <w:p>
      <w:pPr>
        <w:pStyle w:val="Heading2"/>
        <w:keepNext/>
      </w:pPr>
      <w:r>
        <w:t>8.3 Ruimtelijke blootstelling</w:t>
      </w:r>
    </w:p>
    <w:p>
      <w:pPr>
        <w:spacing w:after="120" w:line="264" w:lineRule="auto"/>
      </w:pPr>
      <w:r>
        <w:rPr>
          <w:rFonts w:ascii="Arial" w:hAnsi="Arial"/>
          <w:i w:val="0"/>
          <w:color w:val="202124"/>
          <w:sz w:val="21"/>
        </w:rPr>
        <w:t>Voor iedere locatie en datum moet kunnen worden bepaald welke begrazingsfase daar gold. Dat gebeurt door de locatie later te kruisen met het geldige begrazingsgebied en, indien aanwezig, een nauwkeuriger toegankelijk vlak of GPS-gebruiksraster. Bewaar de brongeometrieën; afgeleide overlaps moeten opnieuw berekenbaar blijven.</w:t>
      </w:r>
    </w:p>
    <w:p>
      <w:pPr>
        <w:pStyle w:val="Heading1"/>
        <w:keepNext/>
      </w:pPr>
      <w:r>
        <w:t>9. Vanaf 2026 vast te leggen gegevens</w:t>
      </w:r>
    </w:p>
    <w:tbl>
      <w:tblPr>
        <w:tblStyle w:val="TableGrid"/>
        <w:tblW w:type="dxa" w:w="9360"/>
        <w:jc w:val="left"/>
        <w:tblLayout w:type="fixed"/>
        <w:tblLook w:firstColumn="1" w:firstRow="1" w:lastColumn="0" w:lastRow="0" w:noHBand="0" w:noVBand="1" w:val="04A0"/>
        <w:tblInd w:w="120" w:type="dxa"/>
      </w:tblPr>
      <w:tblGrid>
        <w:gridCol w:w="1400"/>
        <w:gridCol w:w="1700"/>
        <w:gridCol w:w="4560"/>
        <w:gridCol w:w="1700"/>
      </w:tblGrid>
      <w:tr>
        <w:trPr>
          <w:tblHeader w:val="true"/>
          <w:cantSplit w:val="true"/>
        </w:trPr>
        <w:tc>
          <w:tcPr>
            <w:tcW w:type="dxa" w:w="1400"/>
            <w:shd w:fill="245A78"/>
            <w:tcMar>
              <w:top w:w="90" w:type="dxa"/>
              <w:start w:w="120" w:type="dxa"/>
              <w:bottom w:w="90" w:type="dxa"/>
              <w:end w:w="120" w:type="dxa"/>
            </w:tcMar>
            <w:vAlign w:val="center"/>
          </w:tcPr>
          <w:p>
            <w:pPr>
              <w:spacing w:after="0"/>
            </w:pPr>
            <w:r>
              <w:rPr>
                <w:rFonts w:ascii="Arial" w:hAnsi="Arial"/>
                <w:b/>
                <w:color w:val="FFFFFF"/>
                <w:sz w:val="16"/>
              </w:rPr>
              <w:t>Prioriteit</w:t>
            </w:r>
          </w:p>
        </w:tc>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Onderwerp</w:t>
            </w:r>
          </w:p>
        </w:tc>
        <w:tc>
          <w:tcPr>
            <w:tcW w:type="dxa" w:w="4560"/>
            <w:shd w:fill="245A78"/>
            <w:tcMar>
              <w:top w:w="90" w:type="dxa"/>
              <w:start w:w="120" w:type="dxa"/>
              <w:bottom w:w="90" w:type="dxa"/>
              <w:end w:w="120" w:type="dxa"/>
            </w:tcMar>
            <w:vAlign w:val="center"/>
          </w:tcPr>
          <w:p>
            <w:pPr>
              <w:spacing w:after="0"/>
            </w:pPr>
            <w:r>
              <w:rPr>
                <w:rFonts w:ascii="Arial" w:hAnsi="Arial"/>
                <w:b/>
                <w:color w:val="FFFFFF"/>
                <w:sz w:val="16"/>
              </w:rPr>
              <w:t>Minimale inhoud</w:t>
            </w:r>
          </w:p>
        </w:tc>
        <w:tc>
          <w:tcPr>
            <w:tcW w:type="dxa" w:w="1700"/>
            <w:shd w:fill="245A78"/>
            <w:tcMar>
              <w:top w:w="90" w:type="dxa"/>
              <w:start w:w="120" w:type="dxa"/>
              <w:bottom w:w="90" w:type="dxa"/>
              <w:end w:w="120" w:type="dxa"/>
            </w:tcMar>
            <w:vAlign w:val="center"/>
          </w:tcPr>
          <w:p>
            <w:pPr>
              <w:spacing w:after="0"/>
            </w:pPr>
            <w:r>
              <w:rPr>
                <w:rFonts w:ascii="Arial" w:hAnsi="Arial"/>
                <w:b/>
                <w:color w:val="FFFFFF"/>
                <w:sz w:val="16"/>
              </w:rPr>
              <w:t>Moment/frequentie</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Gebiedsidentiteit</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Stabiele code, naam, status, beheerder en bron.</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Bij aanmaak/wijziging</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Gebiedsversie</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Geldig van/tot, begrenzing, oppervlakte, bron, nauwkeurigheid en wijzigingsreden.</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Bij iedere grenswijziging</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Begrazingsperiode</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Regime, uitvoeringsvorm, doel, plan- en werkelijke begin/einddatum en status.</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Per periode</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Begrazingsgebied</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Koppeling met geldige gebiedsversie, werkelijk toegankelijk hoofdvlak en oppervlakte.</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Per periode en wijziging</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Begrazingsfase</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Begin/einde, begrazing of onderbreking, netto toegankelijk vlak/ha, reden wijziging en zekerheid.</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Bij iedere relevante wijziging</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Kudde</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Soort, ras waar relevant, geslacht, leeftijds-/gewichtsklasse, aantal en aantalstatus.</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Bij in- en uitscharen en mutatie</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GVE-norm</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Factor, geldigheidsperiode, bron en gebruikte categorie.</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Bij eerste gebruik/normwijziging</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Werkelijke uitvoering</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Verwacht versus werkelijk, tijd, locatie, oorzaak, impact, bron en zekerheidsstatus.</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Direct na constatering</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1. Verplicht</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Herkomst en audit</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Bronhouder, ingevoerd op/door, gecontroleerd op/door en correctiereden.</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Per record/correctie</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2. Sterk aanbevolen</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Voorzieningen</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Type, ligging en geldigheidsperiode voor begrazingsrelevante voorzieningen.</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Bij plaatsing/wijziging</w:t>
            </w:r>
          </w:p>
        </w:tc>
      </w:tr>
      <w:tr>
        <w:trPr>
          <w:cantSplit w:val="true"/>
        </w:trPr>
        <w:tc>
          <w:tcPr>
            <w:tcW w:type="dxa" w:w="1400"/>
            <w:tcMar>
              <w:top w:w="90" w:type="dxa"/>
              <w:start w:w="120" w:type="dxa"/>
              <w:bottom w:w="90" w:type="dxa"/>
              <w:end w:w="120" w:type="dxa"/>
            </w:tcMar>
            <w:vAlign w:val="center"/>
          </w:tcPr>
          <w:p>
            <w:pPr>
              <w:spacing w:after="0" w:line="240" w:lineRule="auto"/>
            </w:pPr>
            <w:r>
              <w:rPr>
                <w:rFonts w:ascii="Arial" w:hAnsi="Arial"/>
                <w:color w:val="202124"/>
                <w:sz w:val="16"/>
              </w:rPr>
              <w:t>2. Sterk aanbevolen</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Externe koppelsleutel</w:t>
            </w:r>
          </w:p>
        </w:tc>
        <w:tc>
          <w:tcPr>
            <w:tcW w:type="dxa" w:w="4560"/>
            <w:tcMar>
              <w:top w:w="90" w:type="dxa"/>
              <w:start w:w="120" w:type="dxa"/>
              <w:bottom w:w="90" w:type="dxa"/>
              <w:end w:w="120" w:type="dxa"/>
            </w:tcMar>
            <w:vAlign w:val="center"/>
          </w:tcPr>
          <w:p>
            <w:pPr>
              <w:spacing w:after="0" w:line="240" w:lineRule="auto"/>
            </w:pPr>
            <w:r>
              <w:rPr>
                <w:rFonts w:ascii="Arial" w:hAnsi="Arial"/>
                <w:color w:val="202124"/>
                <w:sz w:val="16"/>
              </w:rPr>
              <w:t>Bronsysteem, externe sleutel, gekoppelde kernentiteit en geldigheid.</w:t>
            </w:r>
          </w:p>
        </w:tc>
        <w:tc>
          <w:tcPr>
            <w:tcW w:type="dxa" w:w="1700"/>
            <w:tcMar>
              <w:top w:w="90" w:type="dxa"/>
              <w:start w:w="120" w:type="dxa"/>
              <w:bottom w:w="90" w:type="dxa"/>
              <w:end w:w="120" w:type="dxa"/>
            </w:tcMar>
            <w:vAlign w:val="center"/>
          </w:tcPr>
          <w:p>
            <w:pPr>
              <w:spacing w:after="0" w:line="240" w:lineRule="auto"/>
            </w:pPr>
            <w:r>
              <w:rPr>
                <w:rFonts w:ascii="Arial" w:hAnsi="Arial"/>
                <w:color w:val="202124"/>
                <w:sz w:val="16"/>
              </w:rPr>
              <w:t>Zodra aansluiting bekend is</w:t>
            </w:r>
          </w:p>
        </w:tc>
      </w:tr>
      <w:tr>
        <w:trPr>
          <w:cantSplit w:val="true"/>
        </w:trPr>
        <w:tc>
          <w:tcPr>
            <w:tcW w:type="dxa" w:w="1400"/>
            <w:shd w:fill="F8FAFB"/>
            <w:tcMar>
              <w:top w:w="90" w:type="dxa"/>
              <w:start w:w="120" w:type="dxa"/>
              <w:bottom w:w="90" w:type="dxa"/>
              <w:end w:w="120" w:type="dxa"/>
            </w:tcMar>
            <w:vAlign w:val="center"/>
          </w:tcPr>
          <w:p>
            <w:pPr>
              <w:spacing w:after="0" w:line="240" w:lineRule="auto"/>
            </w:pPr>
            <w:r>
              <w:rPr>
                <w:rFonts w:ascii="Arial" w:hAnsi="Arial"/>
                <w:color w:val="202124"/>
                <w:sz w:val="16"/>
              </w:rPr>
              <w:t>3. Optioneel</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GPS-terreingebruik</w:t>
            </w:r>
          </w:p>
        </w:tc>
        <w:tc>
          <w:tcPr>
            <w:tcW w:type="dxa" w:w="4560"/>
            <w:shd w:fill="F8FAFB"/>
            <w:tcMar>
              <w:top w:w="90" w:type="dxa"/>
              <w:start w:w="120" w:type="dxa"/>
              <w:bottom w:w="90" w:type="dxa"/>
              <w:end w:w="120" w:type="dxa"/>
            </w:tcMar>
            <w:vAlign w:val="center"/>
          </w:tcPr>
          <w:p>
            <w:pPr>
              <w:spacing w:after="0" w:line="240" w:lineRule="auto"/>
            </w:pPr>
            <w:r>
              <w:rPr>
                <w:rFonts w:ascii="Arial" w:hAnsi="Arial"/>
                <w:color w:val="202124"/>
                <w:sz w:val="16"/>
              </w:rPr>
              <w:t>Dier/apparaat, meettijd, positie, nauwkeurigheid, methode en kwaliteitsstatus.</w:t>
            </w:r>
          </w:p>
        </w:tc>
        <w:tc>
          <w:tcPr>
            <w:tcW w:type="dxa" w:w="1700"/>
            <w:shd w:fill="F8FAFB"/>
            <w:tcMar>
              <w:top w:w="90" w:type="dxa"/>
              <w:start w:w="120" w:type="dxa"/>
              <w:bottom w:w="90" w:type="dxa"/>
              <w:end w:w="120" w:type="dxa"/>
            </w:tcMar>
            <w:vAlign w:val="center"/>
          </w:tcPr>
          <w:p>
            <w:pPr>
              <w:spacing w:after="0" w:line="240" w:lineRule="auto"/>
            </w:pPr>
            <w:r>
              <w:rPr>
                <w:rFonts w:ascii="Arial" w:hAnsi="Arial"/>
                <w:color w:val="202124"/>
                <w:sz w:val="16"/>
              </w:rPr>
              <w:t>Continu of steekproef</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3E9D2"/>
          </w:tcPr>
          <w:p>
            <w:pPr>
              <w:spacing w:after="0"/>
            </w:pPr>
            <w:r>
              <w:rPr>
                <w:rFonts w:ascii="Arial" w:hAnsi="Arial"/>
                <w:b/>
                <w:color w:val="183847"/>
                <w:sz w:val="21"/>
              </w:rPr>
              <w:t xml:space="preserve">Startpositie 2026: </w:t>
            </w:r>
            <w:r>
              <w:rPr>
                <w:rFonts w:ascii="Arial" w:hAnsi="Arial"/>
                <w:color w:val="202124"/>
                <w:sz w:val="21"/>
              </w:rPr>
              <w:t>Als begrazing al vóór 2026 aanwezig was, leg dan vast vanaf welke datum de beheerhistorie betrouwbaar is en welke oudere gegevens volledig, gedeeltelijk of onbekend zijn. Vul onbekende historie niet stilzwijgend als nul in.</w:t>
            </w:r>
          </w:p>
        </w:tc>
      </w:tr>
    </w:tbl>
    <w:p>
      <w:pPr>
        <w:spacing w:after="40"/>
      </w:pPr>
    </w:p>
    <w:p>
      <w:pPr>
        <w:pStyle w:val="Heading1"/>
        <w:keepNext/>
      </w:pPr>
      <w:r>
        <w:t>10. Minimale registratieprocedure vanaf 2026</w:t>
      </w:r>
    </w:p>
    <w:p>
      <w:pPr>
        <w:pStyle w:val="ListNumber"/>
        <w:spacing w:after="100" w:line="264" w:lineRule="auto"/>
      </w:pPr>
      <w:r>
        <w:rPr>
          <w:rFonts w:ascii="Arial" w:hAnsi="Arial"/>
          <w:color w:val="202124"/>
          <w:sz w:val="21"/>
        </w:rPr>
        <w:t>Ken ieder beheergebied één stabiele code toe en maak bij een grenswijziging een nieuwe gebiedsversie; overschrijf de oude geometrie niet.</w:t>
      </w:r>
    </w:p>
    <w:p>
      <w:pPr>
        <w:pStyle w:val="ListNumber"/>
        <w:spacing w:after="100" w:line="264" w:lineRule="auto"/>
      </w:pPr>
      <w:r>
        <w:rPr>
          <w:rFonts w:ascii="Arial" w:hAnsi="Arial"/>
          <w:color w:val="202124"/>
          <w:sz w:val="21"/>
        </w:rPr>
        <w:t>Maak vóór de start een geplande begrazingsperiode met regime, doel, verwacht tijdvak, begrazingsgebied en verwachte kudde.</w:t>
      </w:r>
    </w:p>
    <w:p>
      <w:pPr>
        <w:pStyle w:val="ListNumber"/>
        <w:spacing w:after="100" w:line="264" w:lineRule="auto"/>
      </w:pPr>
      <w:r>
        <w:rPr>
          <w:rFonts w:ascii="Arial" w:hAnsi="Arial"/>
          <w:color w:val="202124"/>
          <w:sz w:val="21"/>
        </w:rPr>
        <w:t>Bevestig bij inscharen de werkelijke start, het werkelijk toegankelijke vlak en de feitelijke kuddesamenstelling.</w:t>
      </w:r>
    </w:p>
    <w:p>
      <w:pPr>
        <w:pStyle w:val="ListNumber"/>
        <w:spacing w:after="100" w:line="264" w:lineRule="auto"/>
      </w:pPr>
      <w:r>
        <w:rPr>
          <w:rFonts w:ascii="Arial" w:hAnsi="Arial"/>
          <w:color w:val="202124"/>
          <w:sz w:val="21"/>
        </w:rPr>
        <w:t>Begin een nieuwe fase zodra aantal of categorie grazers, toegankelijk vlak, regime of onderbrekingsstatus verandert.</w:t>
      </w:r>
    </w:p>
    <w:p>
      <w:pPr>
        <w:pStyle w:val="ListNumber"/>
        <w:spacing w:after="100" w:line="264" w:lineRule="auto"/>
      </w:pPr>
      <w:r>
        <w:rPr>
          <w:rFonts w:ascii="Arial" w:hAnsi="Arial"/>
          <w:color w:val="202124"/>
          <w:sz w:val="21"/>
        </w:rPr>
        <w:t>Registreer tijdelijke uitsluiting als fase of als wijziging van het toegankelijk vlak, inclusief begin, einde en reden.</w:t>
      </w:r>
    </w:p>
    <w:p>
      <w:pPr>
        <w:pStyle w:val="ListNumber"/>
        <w:spacing w:after="100" w:line="264" w:lineRule="auto"/>
      </w:pPr>
      <w:r>
        <w:rPr>
          <w:rFonts w:ascii="Arial" w:hAnsi="Arial"/>
          <w:color w:val="202124"/>
          <w:sz w:val="21"/>
        </w:rPr>
        <w:t>Leg iedere afwijking van plan en administratie afzonderlijk vast met bron en zekerheidsstatus.</w:t>
      </w:r>
    </w:p>
    <w:p>
      <w:pPr>
        <w:pStyle w:val="ListNumber"/>
        <w:spacing w:after="100" w:line="264" w:lineRule="auto"/>
      </w:pPr>
      <w:r>
        <w:rPr>
          <w:rFonts w:ascii="Arial" w:hAnsi="Arial"/>
          <w:color w:val="202124"/>
          <w:sz w:val="21"/>
        </w:rPr>
        <w:t>Sluit de periode af met werkelijke einddatum, laatste dierenaantallen, controle van GVE-berekening en verantwoordelijke.</w:t>
      </w:r>
    </w:p>
    <w:p>
      <w:pPr>
        <w:pStyle w:val="ListNumber"/>
        <w:spacing w:after="100" w:line="264" w:lineRule="auto"/>
      </w:pPr>
      <w:r>
        <w:rPr>
          <w:rFonts w:ascii="Arial" w:hAnsi="Arial"/>
          <w:color w:val="202124"/>
          <w:sz w:val="21"/>
        </w:rPr>
        <w:t>Bewaar externe sleutels zodra die bekend zijn, maar kopieer inhoud uit andere systemen niet naar dit begrazingsmodel.</w:t>
      </w:r>
    </w:p>
    <w:p>
      <w:pPr>
        <w:pStyle w:val="Heading1"/>
        <w:keepNext/>
      </w:pPr>
      <w:r>
        <w:t>11. Validatie- en integriteitsregels</w:t>
      </w:r>
    </w:p>
    <w:p>
      <w:pPr>
        <w:pStyle w:val="ListBullet"/>
        <w:spacing w:after="80" w:line="264" w:lineRule="auto"/>
      </w:pPr>
      <w:r>
        <w:rPr>
          <w:rFonts w:ascii="Arial" w:hAnsi="Arial"/>
          <w:color w:val="202124"/>
          <w:sz w:val="21"/>
        </w:rPr>
        <w:t>Geldigheidsperioden van gebiedsversies en GVE-normen binnen dezelfde ouderrecord mogen niet overlappen.</w:t>
      </w:r>
    </w:p>
    <w:p>
      <w:pPr>
        <w:pStyle w:val="ListBullet"/>
        <w:spacing w:after="80" w:line="264" w:lineRule="auto"/>
      </w:pPr>
      <w:r>
        <w:rPr>
          <w:rFonts w:ascii="Arial" w:hAnsi="Arial"/>
          <w:color w:val="202124"/>
          <w:sz w:val="21"/>
        </w:rPr>
        <w:t>Begrazingsfasen moeten binnen de werkelijke begrazingsperiode vallen en mogen elkaar niet overlappen.</w:t>
      </w:r>
    </w:p>
    <w:p>
      <w:pPr>
        <w:pStyle w:val="ListBullet"/>
        <w:spacing w:after="80" w:line="264" w:lineRule="auto"/>
      </w:pPr>
      <w:r>
        <w:rPr>
          <w:rFonts w:ascii="Arial" w:hAnsi="Arial"/>
          <w:color w:val="202124"/>
          <w:sz w:val="21"/>
        </w:rPr>
        <w:t>Een fase van type begrazing heeft minstens één kudde-inzet; een onderbrekingsfase heeft er geen.</w:t>
      </w:r>
    </w:p>
    <w:p>
      <w:pPr>
        <w:pStyle w:val="ListBullet"/>
        <w:spacing w:after="80" w:line="264" w:lineRule="auto"/>
      </w:pPr>
      <w:r>
        <w:rPr>
          <w:rFonts w:ascii="Arial" w:hAnsi="Arial"/>
          <w:color w:val="202124"/>
          <w:sz w:val="21"/>
        </w:rPr>
        <w:t>Netto toegankelijke oppervlakte is groter dan nul en wordt uit een geldige RD New-geometrie berekend.</w:t>
      </w:r>
    </w:p>
    <w:p>
      <w:pPr>
        <w:pStyle w:val="ListBullet"/>
        <w:spacing w:after="80" w:line="264" w:lineRule="auto"/>
      </w:pPr>
      <w:r>
        <w:rPr>
          <w:rFonts w:ascii="Arial" w:hAnsi="Arial"/>
          <w:color w:val="202124"/>
          <w:sz w:val="21"/>
        </w:rPr>
        <w:t>De gebruikte GVE-norm moet op de faseperiode geldig zijn; historische normen worden niet gewijzigd maar opgevolgd.</w:t>
      </w:r>
    </w:p>
    <w:p>
      <w:pPr>
        <w:pStyle w:val="ListBullet"/>
        <w:spacing w:after="80" w:line="264" w:lineRule="auto"/>
      </w:pPr>
      <w:r>
        <w:rPr>
          <w:rFonts w:ascii="Arial" w:hAnsi="Arial"/>
          <w:color w:val="202124"/>
          <w:sz w:val="21"/>
        </w:rPr>
        <w:t>Afgeleide GVE-waarden moeten reproduceerbaar zijn uit aantallen, norm, tijd en oppervlakte.</w:t>
      </w:r>
    </w:p>
    <w:p>
      <w:pPr>
        <w:pStyle w:val="ListBullet"/>
        <w:spacing w:after="80" w:line="264" w:lineRule="auto"/>
      </w:pPr>
      <w:r>
        <w:rPr>
          <w:rFonts w:ascii="Arial" w:hAnsi="Arial"/>
          <w:color w:val="202124"/>
          <w:sz w:val="21"/>
        </w:rPr>
        <w:t>Een begrazingsgebied moet verwijzen naar de gebiedsversie die tijdens de begrazingsperiode geldig was.</w:t>
      </w:r>
    </w:p>
    <w:p>
      <w:pPr>
        <w:pStyle w:val="ListBullet"/>
        <w:spacing w:after="80" w:line="264" w:lineRule="auto"/>
      </w:pPr>
      <w:r>
        <w:rPr>
          <w:rFonts w:ascii="Arial" w:hAnsi="Arial"/>
          <w:color w:val="202124"/>
          <w:sz w:val="21"/>
        </w:rPr>
        <w:t>Een onbekend aantal dieren is niet nul. Gebruik afzonderlijke statuscodes voor geteld, administratief bevestigd, geschat en onbekend.</w:t>
      </w:r>
    </w:p>
    <w:p>
      <w:pPr>
        <w:pStyle w:val="ListBullet"/>
        <w:spacing w:after="80" w:line="264" w:lineRule="auto"/>
      </w:pPr>
      <w:r>
        <w:rPr>
          <w:rFonts w:ascii="Arial" w:hAnsi="Arial"/>
          <w:color w:val="202124"/>
          <w:sz w:val="21"/>
        </w:rPr>
        <w:t>Een externe koppelsleutel is uniek binnen het opgegeven bronsysteem en verwijst naar een bestaande kernentiteit.</w:t>
      </w:r>
    </w:p>
    <w:p>
      <w:pPr>
        <w:pStyle w:val="ListBullet"/>
        <w:spacing w:after="80" w:line="264" w:lineRule="auto"/>
      </w:pPr>
      <w:r>
        <w:rPr>
          <w:rFonts w:ascii="Arial" w:hAnsi="Arial"/>
          <w:color w:val="202124"/>
          <w:sz w:val="21"/>
        </w:rPr>
        <w:t>Historische begrazingsrecords worden niet fysiek verwijderd; correcties krijgen auditinformatie en zo nodig een opvolgende versie.</w:t>
      </w:r>
    </w:p>
    <w:p>
      <w:pPr>
        <w:pStyle w:val="Heading1"/>
        <w:keepNext/>
      </w:pPr>
      <w:r>
        <w:t>12. Wat bewust nog niet wordt ontworpen</w:t>
      </w:r>
    </w:p>
    <w:p>
      <w:pPr>
        <w:pStyle w:val="ListBullet"/>
        <w:spacing w:after="80" w:line="264" w:lineRule="auto"/>
      </w:pPr>
      <w:r>
        <w:rPr>
          <w:rFonts w:ascii="Arial" w:hAnsi="Arial"/>
          <w:color w:val="202124"/>
          <w:sz w:val="21"/>
        </w:rPr>
        <w:t>Geen definitieve MySQL-tabellen, datatypelengtes, indexen of partitioneringsstrategie.</w:t>
      </w:r>
    </w:p>
    <w:p>
      <w:pPr>
        <w:pStyle w:val="ListBullet"/>
        <w:spacing w:after="80" w:line="264" w:lineRule="auto"/>
      </w:pPr>
      <w:r>
        <w:rPr>
          <w:rFonts w:ascii="Arial" w:hAnsi="Arial"/>
          <w:color w:val="202124"/>
          <w:sz w:val="21"/>
        </w:rPr>
        <w:t>Geen inhoudelijke opslagstructuur voor ecologische of andere externe meetreeksen.</w:t>
      </w:r>
    </w:p>
    <w:p>
      <w:pPr>
        <w:pStyle w:val="ListBullet"/>
        <w:spacing w:after="80" w:line="264" w:lineRule="auto"/>
      </w:pPr>
      <w:r>
        <w:rPr>
          <w:rFonts w:ascii="Arial" w:hAnsi="Arial"/>
          <w:color w:val="202124"/>
          <w:sz w:val="21"/>
        </w:rPr>
        <w:t>Geen inhoudelijke uitwerking van andere typen beheergebeurtenissen; alleen het neutrale uitbreidingspunt wordt gereserveerd.</w:t>
      </w:r>
    </w:p>
    <w:p>
      <w:pPr>
        <w:pStyle w:val="ListBullet"/>
        <w:spacing w:after="80" w:line="264" w:lineRule="auto"/>
      </w:pPr>
      <w:r>
        <w:rPr>
          <w:rFonts w:ascii="Arial" w:hAnsi="Arial"/>
          <w:color w:val="202124"/>
          <w:sz w:val="21"/>
        </w:rPr>
        <w:t>Geen evaluatie-, onderzoeks- of succesindicatoren; dit concept registreert uitsluitend de begrazingsblootstelling.</w:t>
      </w:r>
    </w:p>
    <w:p>
      <w:pPr>
        <w:pStyle w:val="ListBullet"/>
        <w:spacing w:after="80" w:line="264" w:lineRule="auto"/>
      </w:pPr>
      <w:r>
        <w:rPr>
          <w:rFonts w:ascii="Arial" w:hAnsi="Arial"/>
          <w:color w:val="202124"/>
          <w:sz w:val="21"/>
        </w:rPr>
        <w:t>Geen verplicht GPS-programma; wel een voorbereid koppelvlak.</w:t>
      </w:r>
    </w:p>
    <w:p>
      <w:pPr>
        <w:pStyle w:val="Heading1"/>
        <w:keepNext/>
      </w:pPr>
      <w:r>
        <w:t>13. Advies voor de volgende ontwerpfase</w:t>
      </w:r>
    </w:p>
    <w:p>
      <w:pPr>
        <w:spacing w:after="120" w:line="264" w:lineRule="auto"/>
      </w:pPr>
      <w:r>
        <w:rPr>
          <w:rFonts w:ascii="Arial" w:hAnsi="Arial"/>
          <w:i w:val="0"/>
          <w:color w:val="202124"/>
          <w:sz w:val="21"/>
        </w:rPr>
        <w:t>Laat een database-technicus dit concept samen met de beheerder vertalen naar een logisch datamodel. Test dat ontwerp met drie reconstructies uit 2026: een ongewijzigde jaarrondbegrazing, een seizoen met tussentijdse kuddewijziging en een tijdelijke uitsluiting met afwijking. De technische uitwerking moet historie bewaren en iedere afgeleide veebezetting reproduceerbaar maken.</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DDEFE4"/>
          </w:tcPr>
          <w:p>
            <w:pPr>
              <w:spacing w:after="0"/>
            </w:pPr>
            <w:r>
              <w:rPr>
                <w:rFonts w:ascii="Arial" w:hAnsi="Arial"/>
                <w:b/>
                <w:color w:val="183847"/>
                <w:sz w:val="21"/>
              </w:rPr>
              <w:t xml:space="preserve">Acceptatietest: </w:t>
            </w:r>
            <w:r>
              <w:rPr>
                <w:rFonts w:ascii="Arial" w:hAnsi="Arial"/>
                <w:color w:val="202124"/>
                <w:sz w:val="21"/>
              </w:rPr>
              <w:t>Gegeven een locatie en datum moet één query kunnen tonen: geldige gebiedsversie, werkelijk toegankelijk vlak, actieve begrazingsfase, aanwezige grazercategorieën en aantallen, gebruikte GVE-norm, veebezetting, bekende afwijkingen, bron/zekerheid en beschikbare externe sleutels.</w:t>
            </w:r>
          </w:p>
        </w:tc>
      </w:tr>
    </w:tbl>
    <w:p>
      <w:pPr>
        <w:spacing w:after="40"/>
      </w:pPr>
    </w:p>
    <w:p>
      <w:pPr>
        <w:pStyle w:val="Heading1"/>
        <w:keepNext/>
      </w:pPr>
      <w:r>
        <w:t>14. Gebruikte documenten uit Zotero</w:t>
      </w:r>
    </w:p>
    <w:p>
      <w:pPr>
        <w:spacing w:after="120"/>
      </w:pPr>
      <w:r>
        <w:rPr>
          <w:rFonts w:ascii="Arial" w:hAnsi="Arial"/>
          <w:color w:val="202124"/>
          <w:sz w:val="19"/>
        </w:rPr>
        <w:t xml:space="preserve">Nijssen, M., Brouwer, J., Kuper, J., Gallego-Zamorano, J. &amp; Wallis de Vries, M. (2025; publicatie-editie januari 2026). </w:t>
      </w:r>
      <w:r>
        <w:rPr>
          <w:rFonts w:ascii="Arial" w:hAnsi="Arial"/>
          <w:i/>
          <w:color w:val="202124"/>
          <w:sz w:val="19"/>
        </w:rPr>
        <w:t>Effecten van wisselbegrazing op vegetatie en fauna van duingraslanden. Veldexperiment 2021–2024 &amp; trendanalyse dagvlinders. OBN-2020-118-DK.</w:t>
      </w:r>
    </w:p>
    <w:p>
      <w:pPr>
        <w:spacing w:after="120"/>
      </w:pPr>
      <w:r>
        <w:rPr>
          <w:rFonts w:ascii="Arial" w:hAnsi="Arial"/>
          <w:color w:val="202124"/>
          <w:sz w:val="19"/>
        </w:rPr>
        <w:t xml:space="preserve">Nijssen, M., Kuiters, L., Smits, N., Kramer, H., Kuper, J., Brouwer, J. &amp; Vogels, J. (2020). </w:t>
      </w:r>
      <w:r>
        <w:rPr>
          <w:rFonts w:ascii="Arial" w:hAnsi="Arial"/>
          <w:i/>
          <w:color w:val="202124"/>
          <w:sz w:val="19"/>
        </w:rPr>
        <w:t>Langetermijneffecten van extensieve duinbegrazing in kalkarme kustduinen. OBN-2020-234-DK.</w:t>
      </w:r>
    </w:p>
    <w:p>
      <w:pPr>
        <w:spacing w:after="120"/>
      </w:pPr>
      <w:r>
        <w:rPr>
          <w:rFonts w:ascii="Arial" w:hAnsi="Arial"/>
          <w:color w:val="202124"/>
          <w:sz w:val="19"/>
        </w:rPr>
        <w:t xml:space="preserve">OBN (2014). </w:t>
      </w:r>
      <w:r>
        <w:rPr>
          <w:rFonts w:ascii="Arial" w:hAnsi="Arial"/>
          <w:i/>
          <w:color w:val="202124"/>
          <w:sz w:val="19"/>
        </w:rPr>
        <w:t>Begrazingsbeheer in relatie tot faunagemeenschappen in droge grasduinen, eindrapportage 2009–2013.</w:t>
      </w:r>
    </w:p>
    <w:p>
      <w:pPr>
        <w:spacing w:after="120"/>
      </w:pPr>
      <w:r>
        <w:rPr>
          <w:rFonts w:ascii="Arial" w:hAnsi="Arial"/>
          <w:color w:val="202124"/>
          <w:sz w:val="19"/>
        </w:rPr>
        <w:t xml:space="preserve">Van der Hagen, H.G.J.M. (2022). </w:t>
      </w:r>
      <w:r>
        <w:rPr>
          <w:rFonts w:ascii="Arial" w:hAnsi="Arial"/>
          <w:i/>
          <w:color w:val="202124"/>
          <w:sz w:val="19"/>
        </w:rPr>
        <w:t>Rabbits Rule: Evaluating livestock grazing in coastal sand dunes of Meijendel, the Netherlands. Proefschrift, Wageningen University. https://doi.org/10.18174/575460.</w:t>
      </w:r>
    </w:p>
    <w:p>
      <w:pPr>
        <w:spacing w:after="120"/>
      </w:pPr>
      <w:r>
        <w:rPr>
          <w:rFonts w:ascii="Arial" w:hAnsi="Arial"/>
          <w:color w:val="202124"/>
          <w:sz w:val="19"/>
        </w:rPr>
        <w:t xml:space="preserve">Van der Hagen, H.G.J.M. (1992). </w:t>
      </w:r>
      <w:r>
        <w:rPr>
          <w:rFonts w:ascii="Arial" w:hAnsi="Arial"/>
          <w:i/>
          <w:color w:val="202124"/>
          <w:sz w:val="19"/>
        </w:rPr>
        <w:t>Monitoring en begrazing in Meijendel, nr. 23.</w:t>
      </w:r>
    </w:p>
    <w:p>
      <w:pPr>
        <w:spacing w:after="120"/>
      </w:pPr>
      <w:r>
        <w:rPr>
          <w:rFonts w:ascii="Arial" w:hAnsi="Arial"/>
          <w:color w:val="202124"/>
          <w:sz w:val="19"/>
        </w:rPr>
        <w:t xml:space="preserve">Van der Niet, T. (2001). </w:t>
      </w:r>
      <w:r>
        <w:rPr>
          <w:rFonts w:ascii="Arial" w:hAnsi="Arial"/>
          <w:i/>
          <w:color w:val="202124"/>
          <w:sz w:val="19"/>
        </w:rPr>
        <w:t>Voorzichtigheid motto bij begrazingsevaluatie van broedvogels, nr. 38.</w:t>
      </w:r>
    </w:p>
    <w:p>
      <w:pPr>
        <w:spacing w:after="120"/>
      </w:pPr>
      <w:r>
        <w:rPr>
          <w:rFonts w:ascii="Arial" w:hAnsi="Arial"/>
          <w:color w:val="202124"/>
          <w:sz w:val="19"/>
        </w:rPr>
        <w:t xml:space="preserve">OBN (2017). </w:t>
      </w:r>
      <w:r>
        <w:rPr>
          <w:rFonts w:ascii="Arial" w:hAnsi="Arial"/>
          <w:i/>
          <w:color w:val="202124"/>
          <w:sz w:val="19"/>
        </w:rPr>
        <w:t>Monitoring effecten duinbegrazing Vallei van het Veen, Vlieland. OBN-2017-15-DK.</w:t>
      </w:r>
    </w:p>
    <w:p>
      <w:pPr>
        <w:pStyle w:val="Heading1"/>
        <w:keepNext/>
      </w:pPr>
      <w:r>
        <w:t>15. Herleidbaarheid van de belangrijkste modelwijzigingen</w:t>
      </w:r>
    </w:p>
    <w:tbl>
      <w:tblPr>
        <w:tblStyle w:val="TableGrid"/>
        <w:tblW w:type="dxa" w:w="9360"/>
        <w:jc w:val="left"/>
        <w:tblLayout w:type="fixed"/>
        <w:tblLook w:firstColumn="1" w:firstRow="1" w:lastColumn="0" w:lastRow="0" w:noHBand="0" w:noVBand="1" w:val="04A0"/>
        <w:tblInd w:w="120" w:type="dxa"/>
      </w:tblPr>
      <w:tblGrid>
        <w:gridCol w:w="5650"/>
        <w:gridCol w:w="3710"/>
      </w:tblGrid>
      <w:tr>
        <w:trPr>
          <w:tblHeader w:val="true"/>
          <w:cantSplit w:val="true"/>
        </w:trPr>
        <w:tc>
          <w:tcPr>
            <w:tcW w:type="dxa" w:w="5650"/>
            <w:shd w:fill="245A78"/>
            <w:tcMar>
              <w:top w:w="90" w:type="dxa"/>
              <w:start w:w="120" w:type="dxa"/>
              <w:bottom w:w="90" w:type="dxa"/>
              <w:end w:w="120" w:type="dxa"/>
            </w:tcMar>
            <w:vAlign w:val="center"/>
          </w:tcPr>
          <w:p>
            <w:pPr>
              <w:spacing w:after="0"/>
            </w:pPr>
            <w:r>
              <w:rPr>
                <w:rFonts w:ascii="Arial" w:hAnsi="Arial"/>
                <w:b/>
                <w:color w:val="FFFFFF"/>
                <w:sz w:val="17"/>
              </w:rPr>
              <w:t>Modelkeuze</w:t>
            </w:r>
          </w:p>
        </w:tc>
        <w:tc>
          <w:tcPr>
            <w:tcW w:type="dxa" w:w="3710"/>
            <w:shd w:fill="245A78"/>
            <w:tcMar>
              <w:top w:w="90" w:type="dxa"/>
              <w:start w:w="120" w:type="dxa"/>
              <w:bottom w:w="90" w:type="dxa"/>
              <w:end w:w="120" w:type="dxa"/>
            </w:tcMar>
            <w:vAlign w:val="center"/>
          </w:tcPr>
          <w:p>
            <w:pPr>
              <w:spacing w:after="0"/>
            </w:pPr>
            <w:r>
              <w:rPr>
                <w:rFonts w:ascii="Arial" w:hAnsi="Arial"/>
                <w:b/>
                <w:color w:val="FFFFFF"/>
                <w:sz w:val="17"/>
              </w:rPr>
              <w:t>Literatuurbasis</w:t>
            </w:r>
          </w:p>
        </w:tc>
      </w:tr>
      <w:tr>
        <w:trPr>
          <w:cantSplit w:val="true"/>
        </w:trPr>
        <w:tc>
          <w:tcPr>
            <w:tcW w:type="dxa" w:w="5650"/>
            <w:tcMar>
              <w:top w:w="90" w:type="dxa"/>
              <w:start w:w="120" w:type="dxa"/>
              <w:bottom w:w="90" w:type="dxa"/>
              <w:end w:w="120" w:type="dxa"/>
            </w:tcMar>
            <w:vAlign w:val="center"/>
          </w:tcPr>
          <w:p>
            <w:pPr>
              <w:spacing w:after="0" w:line="240" w:lineRule="auto"/>
            </w:pPr>
            <w:r>
              <w:rPr>
                <w:rFonts w:ascii="Arial" w:hAnsi="Arial"/>
                <w:color w:val="202124"/>
                <w:sz w:val="17"/>
              </w:rPr>
              <w:t>Veebezetting ≠ volledige graasdruk; exacte kudde en graasdagen</w:t>
            </w:r>
          </w:p>
        </w:tc>
        <w:tc>
          <w:tcPr>
            <w:tcW w:type="dxa" w:w="3710"/>
            <w:tcMar>
              <w:top w:w="90" w:type="dxa"/>
              <w:start w:w="120" w:type="dxa"/>
              <w:bottom w:w="90" w:type="dxa"/>
              <w:end w:w="120" w:type="dxa"/>
            </w:tcMar>
            <w:vAlign w:val="center"/>
          </w:tcPr>
          <w:p>
            <w:pPr>
              <w:spacing w:after="0" w:line="240" w:lineRule="auto"/>
            </w:pPr>
            <w:r>
              <w:rPr>
                <w:rFonts w:ascii="Arial" w:hAnsi="Arial"/>
                <w:color w:val="202124"/>
                <w:sz w:val="17"/>
              </w:rPr>
              <w:t>Nijssen et al. 2025/2026, hoofdstuk 2.</w:t>
            </w:r>
          </w:p>
        </w:tc>
      </w:tr>
      <w:tr>
        <w:trPr>
          <w:cantSplit w:val="true"/>
        </w:trPr>
        <w:tc>
          <w:tcPr>
            <w:tcW w:type="dxa" w:w="5650"/>
            <w:shd w:fill="F8FAFB"/>
            <w:tcMar>
              <w:top w:w="90" w:type="dxa"/>
              <w:start w:w="120" w:type="dxa"/>
              <w:bottom w:w="90" w:type="dxa"/>
              <w:end w:w="120" w:type="dxa"/>
            </w:tcMar>
            <w:vAlign w:val="center"/>
          </w:tcPr>
          <w:p>
            <w:pPr>
              <w:spacing w:after="0" w:line="240" w:lineRule="auto"/>
            </w:pPr>
            <w:r>
              <w:rPr>
                <w:rFonts w:ascii="Arial" w:hAnsi="Arial"/>
                <w:color w:val="202124"/>
                <w:sz w:val="17"/>
              </w:rPr>
              <w:t>Plan en werkelijke uitvoering plus afwijkingen</w:t>
            </w:r>
          </w:p>
        </w:tc>
        <w:tc>
          <w:tcPr>
            <w:tcW w:type="dxa" w:w="3710"/>
            <w:shd w:fill="F8FAFB"/>
            <w:tcMar>
              <w:top w:w="90" w:type="dxa"/>
              <w:start w:w="120" w:type="dxa"/>
              <w:bottom w:w="90" w:type="dxa"/>
              <w:end w:w="120" w:type="dxa"/>
            </w:tcMar>
            <w:vAlign w:val="center"/>
          </w:tcPr>
          <w:p>
            <w:pPr>
              <w:spacing w:after="0" w:line="240" w:lineRule="auto"/>
            </w:pPr>
            <w:r>
              <w:rPr>
                <w:rFonts w:ascii="Arial" w:hAnsi="Arial"/>
                <w:color w:val="202124"/>
                <w:sz w:val="17"/>
              </w:rPr>
              <w:t>Nijssen et al. 2025/2026, beschrijving veldexperiment 2021–2024.</w:t>
            </w:r>
          </w:p>
        </w:tc>
      </w:tr>
      <w:tr>
        <w:trPr>
          <w:cantSplit w:val="true"/>
        </w:trPr>
        <w:tc>
          <w:tcPr>
            <w:tcW w:type="dxa" w:w="5650"/>
            <w:tcMar>
              <w:top w:w="90" w:type="dxa"/>
              <w:start w:w="120" w:type="dxa"/>
              <w:bottom w:w="90" w:type="dxa"/>
              <w:end w:w="120" w:type="dxa"/>
            </w:tcMar>
            <w:vAlign w:val="center"/>
          </w:tcPr>
          <w:p>
            <w:pPr>
              <w:spacing w:after="0" w:line="240" w:lineRule="auto"/>
            </w:pPr>
            <w:r>
              <w:rPr>
                <w:rFonts w:ascii="Arial" w:hAnsi="Arial"/>
                <w:color w:val="202124"/>
                <w:sz w:val="17"/>
              </w:rPr>
              <w:t>Versieerbare meetlocatie bij rasterwijziging</w:t>
            </w:r>
          </w:p>
        </w:tc>
        <w:tc>
          <w:tcPr>
            <w:tcW w:type="dxa" w:w="3710"/>
            <w:tcMar>
              <w:top w:w="90" w:type="dxa"/>
              <w:start w:w="120" w:type="dxa"/>
              <w:bottom w:w="90" w:type="dxa"/>
              <w:end w:w="120" w:type="dxa"/>
            </w:tcMar>
            <w:vAlign w:val="center"/>
          </w:tcPr>
          <w:p>
            <w:pPr>
              <w:spacing w:after="0" w:line="240" w:lineRule="auto"/>
            </w:pPr>
            <w:r>
              <w:rPr>
                <w:rFonts w:ascii="Arial" w:hAnsi="Arial"/>
                <w:color w:val="202124"/>
                <w:sz w:val="17"/>
              </w:rPr>
              <w:t>Nijssen et al. 2025/2026, Kop van Schouwen en veldmetingen.</w:t>
            </w:r>
          </w:p>
        </w:tc>
      </w:tr>
      <w:tr>
        <w:trPr>
          <w:cantSplit w:val="true"/>
        </w:trPr>
        <w:tc>
          <w:tcPr>
            <w:tcW w:type="dxa" w:w="5650"/>
            <w:shd w:fill="F8FAFB"/>
            <w:tcMar>
              <w:top w:w="90" w:type="dxa"/>
              <w:start w:w="120" w:type="dxa"/>
              <w:bottom w:w="90" w:type="dxa"/>
              <w:end w:w="120" w:type="dxa"/>
            </w:tcMar>
            <w:vAlign w:val="center"/>
          </w:tcPr>
          <w:p>
            <w:pPr>
              <w:spacing w:after="0" w:line="240" w:lineRule="auto"/>
            </w:pPr>
            <w:r>
              <w:rPr>
                <w:rFonts w:ascii="Arial" w:hAnsi="Arial"/>
                <w:color w:val="202124"/>
                <w:sz w:val="17"/>
              </w:rPr>
              <w:t>BACI, exclosures en behoud van langjarige plots</w:t>
            </w:r>
          </w:p>
        </w:tc>
        <w:tc>
          <w:tcPr>
            <w:tcW w:type="dxa" w:w="3710"/>
            <w:shd w:fill="F8FAFB"/>
            <w:tcMar>
              <w:top w:w="90" w:type="dxa"/>
              <w:start w:w="120" w:type="dxa"/>
              <w:bottom w:w="90" w:type="dxa"/>
              <w:end w:w="120" w:type="dxa"/>
            </w:tcMar>
            <w:vAlign w:val="center"/>
          </w:tcPr>
          <w:p>
            <w:pPr>
              <w:spacing w:after="0" w:line="240" w:lineRule="auto"/>
            </w:pPr>
            <w:r>
              <w:rPr>
                <w:rFonts w:ascii="Arial" w:hAnsi="Arial"/>
                <w:color w:val="202124"/>
                <w:sz w:val="17"/>
              </w:rPr>
              <w:t>OBN 2020 en OBN 2017.</w:t>
            </w:r>
          </w:p>
        </w:tc>
      </w:tr>
      <w:tr>
        <w:trPr>
          <w:cantSplit w:val="true"/>
        </w:trPr>
        <w:tc>
          <w:tcPr>
            <w:tcW w:type="dxa" w:w="5650"/>
            <w:tcMar>
              <w:top w:w="90" w:type="dxa"/>
              <w:start w:w="120" w:type="dxa"/>
              <w:bottom w:w="90" w:type="dxa"/>
              <w:end w:w="120" w:type="dxa"/>
            </w:tcMar>
            <w:vAlign w:val="center"/>
          </w:tcPr>
          <w:p>
            <w:pPr>
              <w:spacing w:after="0" w:line="240" w:lineRule="auto"/>
            </w:pPr>
            <w:r>
              <w:rPr>
                <w:rFonts w:ascii="Arial" w:hAnsi="Arial"/>
                <w:color w:val="202124"/>
                <w:sz w:val="17"/>
              </w:rPr>
              <w:t>Koppeling met konijnen, stikstof, klimaat en luchtfoto’s</w:t>
            </w:r>
          </w:p>
        </w:tc>
        <w:tc>
          <w:tcPr>
            <w:tcW w:type="dxa" w:w="3710"/>
            <w:tcMar>
              <w:top w:w="90" w:type="dxa"/>
              <w:start w:w="120" w:type="dxa"/>
              <w:bottom w:w="90" w:type="dxa"/>
              <w:end w:w="120" w:type="dxa"/>
            </w:tcMar>
            <w:vAlign w:val="center"/>
          </w:tcPr>
          <w:p>
            <w:pPr>
              <w:spacing w:after="0" w:line="240" w:lineRule="auto"/>
            </w:pPr>
            <w:r>
              <w:rPr>
                <w:rFonts w:ascii="Arial" w:hAnsi="Arial"/>
                <w:color w:val="202124"/>
                <w:sz w:val="17"/>
              </w:rPr>
              <w:t>Van der Hagen 2022.</w:t>
            </w:r>
          </w:p>
        </w:tc>
      </w:tr>
      <w:tr>
        <w:trPr>
          <w:cantSplit w:val="true"/>
        </w:trPr>
        <w:tc>
          <w:tcPr>
            <w:tcW w:type="dxa" w:w="5650"/>
            <w:shd w:fill="F8FAFB"/>
            <w:tcMar>
              <w:top w:w="90" w:type="dxa"/>
              <w:start w:w="120" w:type="dxa"/>
              <w:bottom w:w="90" w:type="dxa"/>
              <w:end w:w="120" w:type="dxa"/>
            </w:tcMar>
            <w:vAlign w:val="center"/>
          </w:tcPr>
          <w:p>
            <w:pPr>
              <w:spacing w:after="0" w:line="240" w:lineRule="auto"/>
            </w:pPr>
            <w:r>
              <w:rPr>
                <w:rFonts w:ascii="Arial" w:hAnsi="Arial"/>
                <w:color w:val="202124"/>
                <w:sz w:val="17"/>
              </w:rPr>
              <w:t>Vaste protocollen, inspanning en seizoensmoment</w:t>
            </w:r>
          </w:p>
        </w:tc>
        <w:tc>
          <w:tcPr>
            <w:tcW w:type="dxa" w:w="3710"/>
            <w:shd w:fill="F8FAFB"/>
            <w:tcMar>
              <w:top w:w="90" w:type="dxa"/>
              <w:start w:w="120" w:type="dxa"/>
              <w:bottom w:w="90" w:type="dxa"/>
              <w:end w:w="120" w:type="dxa"/>
            </w:tcMar>
            <w:vAlign w:val="center"/>
          </w:tcPr>
          <w:p>
            <w:pPr>
              <w:spacing w:after="0" w:line="240" w:lineRule="auto"/>
            </w:pPr>
            <w:r>
              <w:rPr>
                <w:rFonts w:ascii="Arial" w:hAnsi="Arial"/>
                <w:color w:val="202124"/>
                <w:sz w:val="17"/>
              </w:rPr>
              <w:t>Van der Hagen 1992 en Nijssen et al. 2025/2026.</w:t>
            </w:r>
          </w:p>
        </w:tc>
      </w:tr>
      <w:tr>
        <w:trPr>
          <w:cantSplit w:val="true"/>
        </w:trPr>
        <w:tc>
          <w:tcPr>
            <w:tcW w:type="dxa" w:w="5650"/>
            <w:tcMar>
              <w:top w:w="90" w:type="dxa"/>
              <w:start w:w="120" w:type="dxa"/>
              <w:bottom w:w="90" w:type="dxa"/>
              <w:end w:w="120" w:type="dxa"/>
            </w:tcMar>
            <w:vAlign w:val="center"/>
          </w:tcPr>
          <w:p>
            <w:pPr>
              <w:spacing w:after="0" w:line="240" w:lineRule="auto"/>
            </w:pPr>
            <w:r>
              <w:rPr>
                <w:rFonts w:ascii="Arial" w:hAnsi="Arial"/>
                <w:color w:val="202124"/>
                <w:sz w:val="17"/>
              </w:rPr>
              <w:t>Verschillen tussen diergroepen, bodemregio, graasduur en kudde</w:t>
            </w:r>
          </w:p>
        </w:tc>
        <w:tc>
          <w:tcPr>
            <w:tcW w:type="dxa" w:w="3710"/>
            <w:tcMar>
              <w:top w:w="90" w:type="dxa"/>
              <w:start w:w="120" w:type="dxa"/>
              <w:bottom w:w="90" w:type="dxa"/>
              <w:end w:w="120" w:type="dxa"/>
            </w:tcMar>
            <w:vAlign w:val="center"/>
          </w:tcPr>
          <w:p>
            <w:pPr>
              <w:spacing w:after="0" w:line="240" w:lineRule="auto"/>
            </w:pPr>
            <w:r>
              <w:rPr>
                <w:rFonts w:ascii="Arial" w:hAnsi="Arial"/>
                <w:color w:val="202124"/>
                <w:sz w:val="17"/>
              </w:rPr>
              <w:t>OBN 2014.</w:t>
            </w:r>
          </w:p>
        </w:tc>
      </w:tr>
      <w:tr>
        <w:trPr>
          <w:cantSplit w:val="true"/>
        </w:trPr>
        <w:tc>
          <w:tcPr>
            <w:tcW w:type="dxa" w:w="5650"/>
            <w:shd w:fill="F8FAFB"/>
            <w:tcMar>
              <w:top w:w="90" w:type="dxa"/>
              <w:start w:w="120" w:type="dxa"/>
              <w:bottom w:w="90" w:type="dxa"/>
              <w:end w:w="120" w:type="dxa"/>
            </w:tcMar>
            <w:vAlign w:val="center"/>
          </w:tcPr>
          <w:p>
            <w:pPr>
              <w:spacing w:after="0" w:line="240" w:lineRule="auto"/>
            </w:pPr>
            <w:r>
              <w:rPr>
                <w:rFonts w:ascii="Arial" w:hAnsi="Arial"/>
                <w:color w:val="202124"/>
                <w:sz w:val="17"/>
              </w:rPr>
              <w:t>Voorzichtigheid met causaliteit en gebiedskeuze</w:t>
            </w:r>
          </w:p>
        </w:tc>
        <w:tc>
          <w:tcPr>
            <w:tcW w:type="dxa" w:w="3710"/>
            <w:shd w:fill="F8FAFB"/>
            <w:tcMar>
              <w:top w:w="90" w:type="dxa"/>
              <w:start w:w="120" w:type="dxa"/>
              <w:bottom w:w="90" w:type="dxa"/>
              <w:end w:w="120" w:type="dxa"/>
            </w:tcMar>
            <w:vAlign w:val="center"/>
          </w:tcPr>
          <w:p>
            <w:pPr>
              <w:spacing w:after="0" w:line="240" w:lineRule="auto"/>
            </w:pPr>
            <w:r>
              <w:rPr>
                <w:rFonts w:ascii="Arial" w:hAnsi="Arial"/>
                <w:color w:val="202124"/>
                <w:sz w:val="17"/>
              </w:rPr>
              <w:t>Van der Niet 2001.</w:t>
            </w:r>
          </w:p>
        </w:tc>
      </w:tr>
    </w:tbl>
    <w:p>
      <w:pPr>
        <w:spacing w:after="40"/>
      </w:pPr>
    </w:p>
    <w:sectPr w:rsidR="00FC693F" w:rsidRPr="0006063C" w:rsidSect="00034616">
      <w:pgSz w:w="12240" w:h="15840"/>
      <w:pgMar w:top="1152" w:right="1440" w:bottom="108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45A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45A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8384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rial" w:hAnsi="Arial"/>
      <w:sz w:val="21"/>
    </w:rPr>
  </w:style>
  <w:style w:type="paragraph" w:styleId="ListBullet2">
    <w:name w:val="List Bullet 2"/>
    <w:basedOn w:val="Normal"/>
    <w:uiPriority w:val="99"/>
    <w:unhideWhenUsed/>
    <w:rsid w:val="00326F90"/>
    <w:pPr>
      <w:numPr>
        <w:numId w:val="2"/>
      </w:numPr>
      <w:spacing w:after="80" w:line="264" w:lineRule="auto"/>
      <w:ind w:left="1080" w:hanging="360"/>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databaseontwerp begrazingsbeheer vanaf 2026</dc:title>
  <dc:subject>Zotero-gevalideerd functioneel gegevensmodel voor begrazingsregistratie</dc:subject>
  <dc:creator>OpenAI Codex, opgesteld voor Ton Lansink</dc:creator>
  <cp:keywords>Meijendel, begrazing, database, GVE, ruimtelijke registratie, Zotero</cp:keywords>
  <dc:description>generated by python-docx</dc:description>
  <cp:lastModifiedBy/>
  <cp:revision>1</cp:revision>
  <dcterms:created xsi:type="dcterms:W3CDTF">2013-12-23T23:15:00Z</dcterms:created>
  <dcterms:modified xsi:type="dcterms:W3CDTF">2013-12-23T23:15:00Z</dcterms:modified>
  <cp:category/>
</cp:coreProperties>
</file>