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rPr>
        <w:t>Stand: 28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rPr>
        <w:t>Gebruik van de volledige PQ-samenstelling, 11 oktober 2026.</w:t>
      </w:r>
      <w:r>
        <w:t xml:space="preserve"> Voor de broedvogel–vegetatieanalyse zijn 1.314 van de 2.007 provinciale opnamen aan 35 actieve Natura 2000-vogelplots gekoppeld. Zij vormen 501 PQ-plotjaren en bevatten 642 van de 714 centrale taxa over 1981–2025. Een Hellinger-transformatie en drie compositieassen vatten 27,8% van de variatie samen. In de vogeloverlap van 37.140 soort–plot–jaarrijen, 406 vogelplotjaren, 35 plots en 154 soorten over 1989–2025 verbeteren deze assen de ruimtelijke voorspelling in vier van vijf plotblokken, maar niet de voorspelling van latere jaren in twee tijdsblokken. De uitkomst maakt de provinciale PQ-reeks bruikbaarder voor ruimtelijke habitatverschillen, maar levert nog geen voorspellende relatie tussen vegetatieverandering en vogelverandering.</w:t>
      </w:r>
    </w:p>
    <w:p>
      <w:pPr>
        <w:pStyle w:val="BodyText"/>
      </w:pPr>
      <w:r>
        <w:rPr>
          <w:b/>
        </w:rPr>
        <w:t>Ecologische PQ-gradiënten, 28 oktober 2026.</w:t>
      </w:r>
      <w:r>
        <w:t xml:space="preserve"> Voor de nieuwe analyse van verandering binnen dezelfde plot zijn de 642 taxa uit de 1.314 gekoppelde PQ-opnamen onafhankelijk van de vogeluitkomsten beoordeeld met EcoDbase uit SynBioSys. Deze referentietabel bevat per plant onder meer de ecotoopgroepen van Runhaar, sociologische groepen voor natte duinvalleien en droge duingraslanden, levensvorm en groeivorm. De officiële ZIP-download is niet in de database of als ruwe kopie in Git opgenomen; iedere formele run haalt hem opnieuw op en controleert SHA-256 993a934f55d3b4ceb6044040ec38d8e69f9f469b12de03e1044d2face30ca045. De licentie van dit afzonderlijke downloadbestand is op de downloadpagina en in de meegeleverde toelichting niet vermeld. De bron wordt daarom alleen als herleidbare analytische referentie gebruikt en niet door het project heruitgegeven.</w:t>
      </w:r>
    </w:p>
    <w:p>
      <w:pPr>
        <w:pStyle w:val="BodyText"/>
      </w:pPr>
      <w:r>
        <w:rPr>
          <w:b/>
        </w:rPr>
        <w:t>Met exacte namen, bestaande bronaliassen, een eenduidige brede soortnaamkoppeling en de reeds vastgelegde taxongroepen voor mossen, levermossen, korstmossen en algen zijn 528 van 642 taxa aan ten minste één van vijf gradiënten gekoppeld.</w:t>
      </w:r>
      <w:r>
        <w:t xml:space="preserve"> Meervoudige toedeling is toegestaan, maar de bedekking van een taxon wordt over zijn gradiënten verdeeld en niet dubbel geteld. Van de 501 PQ-plotjaren uit 1981–2025 halen 485 in alle 35 plots de vooraf gekozen eis dat minimaal 80% van de totale bronbedekking is ingedeeld. Alleen werkelijk opeenvolgende plotjaren die beide aan die eis voldoen vormen een veranderingsinterval: 441 intervallen, waarvan 164 één, 159 twee, 69 drie en 44 vier jaar lang zijn. De resterende vier intervallen duren vijf, zes, zeven of dertien jaar. De vijf gradiënten veranderen ieder in 32–35 plots. De gradiënttabellen zijn afgeleide analyseproducten, geen wijziging van de provinciale PQ-bron of de levende database.</w:t>
      </w:r>
    </w:p>
    <w:p>
      <w:pPr>
        <w:pStyle w:val="BodyText"/>
      </w:pPr>
      <w:r>
        <w:rPr>
          <w:b/>
        </w:rPr>
        <w:t xml:space="preserve">Niet-lineair vertraagd vogelmodel, 28 oktober 2026. </w:t>
      </w:r>
      <w:r>
        <w:t>Run 20261028T162051Z-70d6fa9bbef7 koppelt ieder vogelplotjaar hoogstens eenmaal, aan de meest recente voorafgaande geldige PQ-verandering. De gemeenschapsmodellen gebruiken 650 vogelplotjaren in 35 plots over 1994–2025, 136 vogelsoorten en 362 veranderingsintervallen; de feitelijke vertraging loopt tot veertien jaar. Zeventien vooraf gekozen relaties zijn voor zowel territoriumaantal als aanwezigheid vergeleken met een basis- en lineair model. Van 102 volledige modellen waren er 101 numeriek geldig; van 204 validatievergelijkingen 189. Drie territoriumrelaties hadden vijf geldige ruimtelijke validatieblokken, voorspelden in drie van die vijf en in latere jaren beter dan beide eenvoudigere modellen: duingrasland met de gehele vogelgemeenschap, bomen/bos met de gehele gemeenschap en duingrasland met bodemfoeragerende insecteneters. Hun langere effectintervallen omvatten echter steeds de waarde één en een afzonderlijke analyse van negen tot 24 grote, niet-overlappende gebeurtenissen per relatie bevestigde de richting niet. De provinciale PQ-reeks levert daarmee drie voorspellende kandidaten voor een poweranalyse, maar nog geen robuust bewijs voor een ecologische oorzaak-gevolgrelatie.</w:t>
      </w:r>
    </w:p>
    <w:p>
      <w:pPr>
        <w:pStyle w:val="BodyText"/>
      </w:pPr>
      <w:r>
        <w:rPr>
          <w:b/>
        </w:rPr>
        <w:t>Vergelijking met NDFF, 10 oktober 2026.</w:t>
      </w:r>
      <w:r>
        <w:t xml:space="preserve"> 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 docs/bronnen/bronvergelijkingen/NDFF_STAGINGDATASET.md.</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BodyText"/>
      </w:pPr>
      <w:r>
        <w:rPr>
          <w:b/>
          <w:bCs/>
        </w:rPr>
        <w:t xml:space="preserve">Historische Dunea-reeks, bronbericht 26 oktober 2026.</w:t>
      </w:r>
      <w:r>
        <w:t xml:space="preserve"> </w:t>
      </w:r>
      <w:r>
        <w:t xml:space="preserve">Harrie Van der</w:t>
      </w:r>
      <w:r>
        <w:t xml:space="preserve"> </w:t>
      </w:r>
      <w:r>
        <w:t xml:space="preserve">Hagen meldt dat Dunea gebiedsdekkende luchtfoto's van heel Meijendel beheert.</w:t>
      </w:r>
      <w:r>
        <w:t xml:space="preserve"> </w:t>
      </w:r>
      <w:r>
        <w:t xml:space="preserve">Hij noemt zwart-witopnamen uit 1938, 1944, 1962 en 1966, meestal op ongeveer</w:t>
      </w:r>
      <w:r>
        <w:t xml:space="preserve"> </w:t>
      </w:r>
      <w:r>
        <w:t xml:space="preserve">1:18.000, en kleureninfraroodopnamen uit 1975, 1980, 1985, 1990, 1995, 2001,</w:t>
      </w:r>
      <w:r>
        <w:t xml:space="preserve"> </w:t>
      </w:r>
      <w:r>
        <w:t xml:space="preserve">2009, 2016 en 2023, op ongeveer 1:2.500. In één doorgestuurde versie staat</w:t>
      </w:r>
      <w:r>
        <w:t xml:space="preserve"> </w:t>
      </w:r>
      <w:r>
        <w:rPr>
          <w:rStyle w:val="VerbatimChar"/>
        </w:rPr>
        <w:t xml:space="preserve">1895</w:t>
      </w:r>
      <w:r>
        <w:t xml:space="preserve">; dit is in Tons weergave gecorrigeerd naar het chronologisch passende</w:t>
      </w:r>
      <w:r>
        <w:t xml:space="preserve"> </w:t>
      </w:r>
      <w:r>
        <w:t xml:space="preserve">1985. Harrie is niet meer zeker van de laatste twee jaren. De exacte jaren,</w:t>
      </w:r>
      <w:r>
        <w:t xml:space="preserve"> </w:t>
      </w:r>
      <w:r>
        <w:t xml:space="preserve">vluchten, dekking, bestanden en schaal moeten daarom eerst door Dunea worden</w:t>
      </w:r>
      <w:r>
        <w:t xml:space="preserve"> </w:t>
      </w:r>
      <w:r>
        <w:t xml:space="preserve">bevestigd. De bestanden zijn niet ontvangen en blijven kandidaatbron.</w:t>
      </w:r>
    </w:p>
    <w:p>
      <w:pPr>
        <w:pStyle w:val="BodyText"/>
      </w:pPr>
      <w:r>
        <w:t xml:space="preserve">Volgens Harrie bestaat voor de meeste jaren een interpretatie op basis van het</w:t>
      </w:r>
      <w:r>
        <w:t xml:space="preserve"> </w:t>
      </w:r>
      <w:r>
        <w:t xml:space="preserve">proefschrift van Dan Assendorp. Die indeling was niet passend voor de gebruikte</w:t>
      </w:r>
      <w:r>
        <w:t xml:space="preserve"> </w:t>
      </w:r>
      <w:r>
        <w:t xml:space="preserve">broedvogelgroepen en is daarom voor het onderzoek van Schmidt-Tauscher, Häger</w:t>
      </w:r>
      <w:r>
        <w:t xml:space="preserve"> </w:t>
      </w:r>
      <w:r>
        <w:t xml:space="preserve">en Van der Hagen opnieuw geïnterpreteerd. Voor zijn eigen proefschrift gebruikte</w:t>
      </w:r>
      <w:r>
        <w:t xml:space="preserve"> </w:t>
      </w:r>
      <w:r>
        <w:t xml:space="preserve">Harrie 1975, 1990, 2001 en 2009. De oudere zwart-witbeelden zijn niet zonder</w:t>
      </w:r>
      <w:r>
        <w:t xml:space="preserve"> </w:t>
      </w:r>
      <w:r>
        <w:t xml:space="preserve">meer vergelijkbaar met de fijnschaliger kleureninfraroodreeks; vooral het beeld</w:t>
      </w:r>
      <w:r>
        <w:t xml:space="preserve"> </w:t>
      </w:r>
      <w:r>
        <w:t xml:space="preserve">uit 1938 bevat door de lage zonnestand schaduwen die op bos kunnen lijken.</w:t>
      </w:r>
    </w:p>
    <w:p>
      <w:pPr>
        <w:pStyle w:val="BodyText"/>
      </w:pPr>
      <w:r>
        <w:t xml:space="preserve">Dunea is bronhouder. Harrie heeft geen bevoegdheid de bestanden beschikbaar te</w:t>
      </w:r>
      <w:r>
        <w:t xml:space="preserve"> </w:t>
      </w:r>
      <w:r>
        <w:t xml:space="preserve">stellen en verwijst voor een besluit naar Maarten Werink. Het idee voor een</w:t>
      </w:r>
      <w:r>
        <w:t xml:space="preserve"> </w:t>
      </w:r>
      <w:r>
        <w:t xml:space="preserve">gezamenlijke proef via een stage is eerder alleen terloops door Harrie aan Ton</w:t>
      </w:r>
      <w:r>
        <w:t xml:space="preserve"> </w:t>
      </w:r>
      <w:r>
        <w:t xml:space="preserve">genoemd; het was geen voorstel of toezegging van Maarten. Maarten wordt daarom</w:t>
      </w:r>
      <w:r>
        <w:t xml:space="preserve"> </w:t>
      </w:r>
      <w:r>
        <w:t xml:space="preserve">zonder veronderstelde voorkennis rechtstreeks gevraagd welke bestaande</w:t>
      </w:r>
      <w:r>
        <w:t xml:space="preserve"> </w:t>
      </w:r>
      <w:r>
        <w:t xml:space="preserve">fotobeelden, interpretaties en bronmetadata Dunea voor het onderzoek</w:t>
      </w:r>
      <w:r>
        <w:t xml:space="preserve"> </w:t>
      </w:r>
      <w:r>
        <w:t xml:space="preserve">beschikbaar kan stellen en onder welke voorwaarden.</w:t>
      </w:r>
    </w:p>
    <w:p>
      <w:pPr>
        <w:pStyle w:val="BodyText"/>
      </w:pPr>
      <w:r>
        <w:t xml:space="preserve">De reeks kan de twee kaartmomenten 2001 en 2022 aanvullen, maar levert niet</w:t>
      </w:r>
      <w:r>
        <w:t xml:space="preserve"> </w:t>
      </w:r>
      <w:r>
        <w:t xml:space="preserve">automatisch een voorspellend model. Harrie wijst erop dat ontwikkeling in het</w:t>
      </w:r>
      <w:r>
        <w:t xml:space="preserve"> </w:t>
      </w:r>
      <w:r>
        <w:t xml:space="preserve">droge duin sterk kan reageren op afzonderlijke gebeurtenissen en menselijk</w:t>
      </w:r>
      <w:r>
        <w:t xml:space="preserve"> </w:t>
      </w:r>
      <w:r>
        <w:t xml:space="preserve">ingrijpen. Hij noemt onder meer het wegvallen van konijnen na myxomatose, de</w:t>
      </w:r>
      <w:r>
        <w:t xml:space="preserve"> </w:t>
      </w:r>
      <w:r>
        <w:t xml:space="preserve">aanplant van bomen en struiken en van helm tot 1990, begrazing vanaf 1990 en het</w:t>
      </w:r>
      <w:r>
        <w:t xml:space="preserve"> </w:t>
      </w:r>
      <w:r>
        <w:t xml:space="preserve">latere opnieuw openmaken van het duin. Voor voorspelling moeten zulke</w:t>
      </w:r>
      <w:r>
        <w:t xml:space="preserve"> </w:t>
      </w:r>
      <w:r>
        <w:t xml:space="preserve">gebeurtenissen en ingrepen, voor zover zij per plaats en jaar kunnen worden</w:t>
      </w:r>
      <w:r>
        <w:t xml:space="preserve"> </w:t>
      </w:r>
      <w:r>
        <w:t xml:space="preserve">onderbouwd, naast vegetatie, PQ en vogels worden opgenomen. De historische</w:t>
      </w:r>
      <w:r>
        <w:t xml:space="preserve"> </w:t>
      </w:r>
      <w:r>
        <w:t xml:space="preserve">fotoreeks kan dus vooral vaststellen</w:t>
      </w:r>
      <w:r>
        <w:t xml:space="preserve"> </w:t>
      </w:r>
      <w:r>
        <w:rPr>
          <w:i/>
          <w:iCs/>
        </w:rPr>
        <w:t xml:space="preserve">wanneer en waar</w:t>
      </w:r>
      <w:r>
        <w:t xml:space="preserve"> </w:t>
      </w:r>
      <w:r>
        <w:t xml:space="preserve">structuur veranderde;</w:t>
      </w:r>
      <w:r>
        <w:t xml:space="preserve"> </w:t>
      </w:r>
      <w:r>
        <w:t xml:space="preserve">zij verklaart niet zelfstandig waardoor dat gebeurde.</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Sandra Schmidt-Tauscher heeft op 20 oktober 2026 bevestigd dat</w:t>
      </w:r>
      <w:r>
        <w:t xml:space="preserve"> </w:t>
      </w:r>
      <w:r>
        <w:t xml:space="preserve">ook de oorspronkelijke trainingspixels niet meer beschikbaar zijn. Zij heeft</w:t>
      </w:r>
      <w:r>
        <w:t xml:space="preserve"> </w:t>
      </w:r>
      <w:r>
        <w:t xml:space="preserve">wel de gebruikte instellingen van de Semi-Automatic Classification Plugin</w:t>
      </w:r>
      <w:r>
        <w:t xml:space="preserve"> </w:t>
      </w:r>
      <w:r>
        <w:t xml:space="preserve">vastgelegd: een Random Forest met 10 beslisbomen en 5.000 trainingspixels. In</w:t>
      </w:r>
      <w:r>
        <w:t xml:space="preserve"> </w:t>
      </w:r>
      <w:r>
        <w:t xml:space="preserve">hun eigen proeven nam de classificatienauwkeurigheid af bij hogere aantallen</w:t>
      </w:r>
      <w:r>
        <w:t xml:space="preserve"> </w:t>
      </w:r>
      <w:r>
        <w:t xml:space="preserve">bomen of trainingspixels. Dit vult de methodebeschrijving aan, maar zonder de</w:t>
      </w:r>
      <w:r>
        <w:t xml:space="preserve"> </w:t>
      </w:r>
      <w:r>
        <w:t xml:space="preserve">gebruikte trainingspixels en validatiepunten kan de classificatie niet exact</w:t>
      </w:r>
      <w:r>
        <w:t xml:space="preserve"> </w:t>
      </w:r>
      <w:r>
        <w:t xml:space="preserve">worden gereproduceerd of op pixelniveau onafhankelijk worden gecontroleerd.</w:t>
      </w:r>
      <w:r>
        <w:t xml:space="preserve"> </w:t>
      </w:r>
      <w:r>
        <w:t xml:space="preserve">Achim meldt bovendien dat vergelijking over meer dan twee beeldjaren ook met</w:t>
      </w:r>
      <w:r>
        <w:t xml:space="preserve"> </w:t>
      </w:r>
      <w:r>
        <w:t xml:space="preserve">textuurmaten moeilijk bleef. De bron meet geen vegetatiehoogte, voedsel,</w:t>
      </w:r>
      <w:r>
        <w:t xml:space="preserve"> </w:t>
      </w:r>
      <w:r>
        <w:t xml:space="preserve">nestgelegenheid of andere habitatkwaliteit.</w:t>
      </w:r>
    </w:p>
    <w:p>
      <w:pPr>
        <w:pStyle w:val="BodyText"/>
      </w:pPr>
      <w:r>
        <w:t xml:space="preserve">Achim Häger en Sandra Schmidt-Tauscher hebben op 20 oktober 2026 beiden</w:t>
      </w:r>
      <w:r>
        <w:t xml:space="preserve"> </w:t>
      </w:r>
      <w:r>
        <w:t xml:space="preserve">schriftelijk ingestemd met gebruik van de twee classificatierasters voor verder</w:t>
      </w:r>
      <w:r>
        <w:t xml:space="preserve"> </w:t>
      </w:r>
      <w:r>
        <w:t xml:space="preserve">onderzoek. De rasters en afgeleide resultaten mogen daarmee in de</w:t>
      </w:r>
      <w:r>
        <w:t xml:space="preserve"> </w:t>
      </w:r>
      <w:r>
        <w:t xml:space="preserve">broedvogel–vegetatieanalyse en de daaruit voortkomende onderzoeksrapportage</w:t>
      </w:r>
      <w:r>
        <w:t xml:space="preserve"> </w:t>
      </w:r>
      <w:r>
        <w:t xml:space="preserve">worden gebruikt. Er is geen open licentie of afzonderlijke toestemming voor</w:t>
      </w:r>
      <w:r>
        <w:t xml:space="preserve"> </w:t>
      </w:r>
      <w:r>
        <w:t xml:space="preserve">openbare verspreiding van de oorspronkelijke GeoTIFFs vastgelegd; die</w:t>
      </w:r>
      <w:r>
        <w:t xml:space="preserve"> </w:t>
      </w:r>
      <w:r>
        <w:t xml:space="preserve">bronbestanden worden daarom niet zelfstandig gepubliceerd.</w:t>
      </w:r>
    </w:p>
    <w:p>
      <w:pPr>
        <w:pStyle w:val="BodyText"/>
      </w:pPr>
      <w:r>
        <w:rPr>
          <w:b/>
          <w:bCs/>
        </w:rPr>
        <w:t xml:space="preserve">KWR-onderzoek:</w:t>
      </w:r>
      <w:r>
        <w:t xml:space="preserve"> </w:t>
      </w:r>
      <w:r>
        <w:t xml:space="preserve">de modelreeks is op 26 oktober 2026 getoetst aan de</w:t>
      </w:r>
      <w:r>
        <w:t xml:space="preserve"> </w:t>
      </w:r>
      <w:r>
        <w:t xml:space="preserve">oorspronkelijke publicaties en actuele KWR-documentatie. HYVEG is in de</w:t>
      </w:r>
      <w:r>
        <w:t xml:space="preserve"> </w:t>
      </w:r>
      <w:r>
        <w:t xml:space="preserve">gevonden publicatie uit 1994 gericht op de relatie tussen hydrologie en planten</w:t>
      </w:r>
      <w:r>
        <w:t xml:space="preserve"> </w:t>
      </w:r>
      <w:r>
        <w:t xml:space="preserve">van vochtige duinvalleien. MODAK is een Kiwa-haalbaarheidsstudie uit 2003 van</w:t>
      </w:r>
      <w:r>
        <w:t xml:space="preserve"> </w:t>
      </w:r>
      <w:r>
        <w:t xml:space="preserve">45 pagina's; de volledige rapporttekst is niet openbaar teruggevonden.</w:t>
      </w:r>
      <w:r>
        <w:t xml:space="preserve"> </w:t>
      </w:r>
      <w:r>
        <w:t xml:space="preserve">PROBE-1 is in 2006 ontwikkeld en wordt volgens de handleiding uit 2025 door</w:t>
      </w:r>
      <w:r>
        <w:t xml:space="preserve"> </w:t>
      </w:r>
      <w:r>
        <w:t xml:space="preserve">KWR voor Dunea, PWN en Waternet gebruikt om op 5- of 10-metergrid het</w:t>
      </w:r>
      <w:r>
        <w:t xml:space="preserve"> </w:t>
      </w:r>
      <w:r>
        <w:t xml:space="preserve">ruimtelijke potentieel van plantengemeenschappen onder hydrologische,</w:t>
      </w:r>
      <w:r>
        <w:t xml:space="preserve"> </w:t>
      </w:r>
      <w:r>
        <w:t xml:space="preserve">depositie- en beheerscenario's te berekenen. De geraadpleegde bronnen tonen een</w:t>
      </w:r>
      <w:r>
        <w:t xml:space="preserve"> </w:t>
      </w:r>
      <w:r>
        <w:t xml:space="preserve">inhoudelijke ontwikkellijn, maar bewijzen niet dat HYVEG-code of -coëfficiënten</w:t>
      </w:r>
      <w:r>
        <w:t xml:space="preserve"> </w:t>
      </w:r>
      <w:r>
        <w:t xml:space="preserve">rechtstreeks via MODAK in PROBE zijn overgenomen.</w:t>
      </w:r>
    </w:p>
    <w:p>
      <w:pPr>
        <w:pStyle w:val="BodyText"/>
      </w:pPr>
      <w:r>
        <w:t xml:space="preserve">PROBE-3 is in 2016 beproefd voor korte, grondwateronafhankelijke droge</w:t>
      </w:r>
      <w:r>
        <w:t xml:space="preserve"> </w:t>
      </w:r>
      <w:r>
        <w:t xml:space="preserve">duinvegetatie. De vegetatiemodule onderscheidde zes associaties en classificeerde</w:t>
      </w:r>
      <w:r>
        <w:t xml:space="preserve"> </w:t>
      </w:r>
      <w:r>
        <w:t xml:space="preserve">82% van een achtergehouden helft van ruim 35.000 landelijke vegetatieopnamen</w:t>
      </w:r>
      <w:r>
        <w:t xml:space="preserve"> </w:t>
      </w:r>
      <w:r>
        <w:t xml:space="preserve">juist. De temporele veldtoets omvatte echter 30 proefvlakken in de</w:t>
      </w:r>
      <w:r>
        <w:t xml:space="preserve"> </w:t>
      </w:r>
      <w:r>
        <w:t xml:space="preserve">Luchterduinen. Het rapport noemt onder meer te hoge biomassaschattingen en het</w:t>
      </w:r>
      <w:r>
        <w:t xml:space="preserve"> </w:t>
      </w:r>
      <w:r>
        <w:t xml:space="preserve">ontbreken van begrazing, konijnen, mossen, korstmossen, verspreiding en</w:t>
      </w:r>
      <w:r>
        <w:t xml:space="preserve"> </w:t>
      </w:r>
      <w:r>
        <w:t xml:space="preserve">vertraagde reacties. Dit is geen volledige mislukking, maar evenmin een</w:t>
      </w:r>
      <w:r>
        <w:t xml:space="preserve"> </w:t>
      </w:r>
      <w:r>
        <w:t xml:space="preserve">gevalideerd historisch voorspelmodel voor Meijendel. Het door Harrie Van der</w:t>
      </w:r>
      <w:r>
        <w:t xml:space="preserve"> </w:t>
      </w:r>
      <w:r>
        <w:t xml:space="preserve">Hagen genoemde Dunea/KWR-project van omstreeks 2023 met weinig voorspellende</w:t>
      </w:r>
      <w:r>
        <w:t xml:space="preserve"> </w:t>
      </w:r>
      <w:r>
        <w:t xml:space="preserve">waarde is niet als afzonderlijk openbaar rapport geïdentificeerd en blijft op</w:t>
      </w:r>
      <w:r>
        <w:t xml:space="preserve"> </w:t>
      </w:r>
      <w:r>
        <w:t xml:space="preserve">dat punt ervaringsinformatie. KWR publiceerde in 2025 en 2026 nieuw empirisch</w:t>
      </w:r>
      <w:r>
        <w:t xml:space="preserve"> </w:t>
      </w:r>
      <w:r>
        <w:t xml:space="preserve">onderzoek naar droge kustduinvegetatie.</w:t>
      </w:r>
    </w:p>
    <w:p>
      <w:pPr>
        <w:pStyle w:val="BodyText"/>
      </w:pPr>
      <w:r>
        <w:t xml:space="preserve">Een schemazoeking in alle tabellen en kolommen van de levende MySQL-database</w:t>
      </w:r>
      <w:r>
        <w:t xml:space="preserve"> </w:t>
      </w:r>
      <w:r>
        <w:rPr>
          <w:rStyle w:val="VerbatimChar"/>
        </w:rPr>
        <w:t xml:space="preserve">Meijendel</w:t>
      </w:r>
      <w:r>
        <w:t xml:space="preserve"> </w:t>
      </w:r>
      <w:r>
        <w:t xml:space="preserve">op 26 oktober 2026 vond nul namen voor GVG, GLG,</w:t>
      </w:r>
      <w:r>
        <w:t xml:space="preserve"> </w:t>
      </w:r>
      <w:r>
        <w:t xml:space="preserve">wortelzonecalcium of vegetatieassociatie. Dit bewijst niet dat afzonderlijke</w:t>
      </w:r>
      <w:r>
        <w:t xml:space="preserve"> </w:t>
      </w:r>
      <w:r>
        <w:t xml:space="preserve">bronnen buiten de database geen hydrologische of vegetatiekundige informatie</w:t>
      </w:r>
      <w:r>
        <w:t xml:space="preserve"> </w:t>
      </w:r>
      <w:r>
        <w:t xml:space="preserve">bevatten, maar wel dat de voor PROBE herkenbare gebiedsdekkende invoerset niet</w:t>
      </w:r>
      <w:r>
        <w:t xml:space="preserve"> </w:t>
      </w:r>
      <w:r>
        <w:t xml:space="preserve">als zodanig in de levende database is opgeslagen. PROBE voorspelt bovendien</w:t>
      </w:r>
      <w:r>
        <w:t xml:space="preserve"> </w:t>
      </w:r>
      <w:r>
        <w:t xml:space="preserve">vegetatie, geen vogels, en vervangt geen waargenomen tijdreeks van horizontale</w:t>
      </w:r>
      <w:r>
        <w:t xml:space="preserve"> </w:t>
      </w:r>
      <w:r>
        <w:t xml:space="preserve">structuur. Er zijn nul</w:t>
      </w:r>
      <w:r>
        <w:t xml:space="preserve"> </w:t>
      </w:r>
      <w:r>
        <w:t xml:space="preserve">digitale PROBE-uitvoerbestanden of invoerrasters geïmporteerd. Het onderzoek</w:t>
      </w:r>
      <w:r>
        <w:t xml:space="preserve"> </w:t>
      </w:r>
      <w:r>
        <w:t xml:space="preserve">verandert daarom geen analysewaarde of bronstatus. De betekenis voor de</w:t>
      </w:r>
      <w:r>
        <w:t xml:space="preserve"> </w:t>
      </w:r>
      <w:r>
        <w:t xml:space="preserve">broedvogel–vegetatieanalyse, de beperkingen per model en de geraadpleegde</w:t>
      </w:r>
      <w:r>
        <w:t xml:space="preserve"> </w:t>
      </w:r>
      <w:r>
        <w:t xml:space="preserve">primaire bronnen staan in</w:t>
      </w:r>
      <w:r>
        <w:t xml:space="preserve"> </w:t>
      </w:r>
      <w:r>
        <w:rPr>
          <w:rStyle w:val="VerbatimChar"/>
        </w:rPr>
        <w:t xml:space="preserve">analyses/broedvogel_vegetatie_power/MODAK_PROBE_HYVEG_BRONONDERZOEK.md</w:t>
      </w:r>
      <w:r>
        <w:t xml:space="preserve">.</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2026-10-26T09:39:55Z</dcterms:created>
  <dcterms:modified xsi:type="dcterms:W3CDTF">2026-10-26T09:39:55Z</dcterms:modified>
</cp:coreProperties>
</file>

<file path=docProps/custom.xml><?xml version="1.0" encoding="utf-8"?>
<Properties xmlns="http://schemas.openxmlformats.org/officeDocument/2006/custom-properties" xmlns:vt="http://schemas.openxmlformats.org/officeDocument/2006/docPropsVTypes"/>
</file>