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BodyText"/>
      </w:pPr>
      <w:r>
        <w:rPr>
          <w:b/>
        </w:rPr>
        <w:t>Stand: 11 oktober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De 42 territoriummatrices bevatten 222.852 plot-soortregels: 52.450 positieve resultaten, 86.983 expliciete nulcellen en 83.419 lege cellen. Een lege cel geldt niet als nul. De puntlagen bevatten 22.305 bronwaarnemingen die nog niet in dagwaarnemingen_bmp staan; omgekeerd ontbreekt geen bestaande SOVON-bron-ID in de nieuwe levering. Bij 2.629 gedeelde bron-ID's levert SOVON broedcode 0 terwijl de database NULL 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rPr>
        <w:t>Afgeleide nullen uit jaarverslagen, uitgevoerd 7 oktober 2026.</w:t>
      </w:r>
      <w:r>
        <w:t xml:space="preserve"> Voor de zelfstandige bron jrvslg_m geldt bij TRIM een expliciete analyseaanname. De tellers telden alle vogelsoorten. De relevante soortpool bestaat daarom uit iedere soort met ten minste één geaccepteerd positief jrvslg_m-resultaat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 afgeleide_jaarverslagnul en hoort niet als bronregel in territoria. Binnen 662 getelde jrvslg_m-plotjaren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 jrvslg_m-plotjaar;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 meeuwen_literatuur 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BodyText"/>
      </w:pPr>
      <w:r>
        <w:rPr>
          <w:b/>
        </w:rPr>
        <w:t>Gebruik van de volledige PQ-samenstelling, 11 oktober 2026.</w:t>
      </w:r>
      <w:r>
        <w:t xml:space="preserve"> Voor de broedvogel–vegetatieanalyse zijn 1.314 van de 2.007 provinciale opnamen aan 35 actieve Natura 2000-vogelplots gekoppeld. Zij vormen 501 PQ-plotjaren en bevatten 642 van de 714 centrale taxa over 1981–2025. Een Hellinger-transformatie en drie compositieassen vatten 27,8% van de variatie samen. In de vogeloverlap van 37.140 soort–plot–jaarrijen, 406 vogelplotjaren, 35 plots en 154 soorten over 1989–2025 verbeteren deze assen de ruimtelijke voorspelling in vier van vijf plotblokken, maar niet de voorspelling van latere jaren in twee tijdsblokken. De uitkomst maakt de provinciale PQ-reeks bruikbaarder voor ruimtelijke habitatverschillen, maar levert nog geen voorspellende relatie tussen vegetatieverandering en vogelverandering.</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rPr>
        <w:t>Wat heeft FLORON bevestigd?</w:t>
      </w:r>
      <w:r>
        <w:t xml:space="preserve"> Op 6 oktober 2026 meldde FLORON dat één kalenderdag in één kilometerhok als telling mag worden beschouwd. Zo'n telling kan één, twee of drie oorspronkelijke lijsten omvatten. Persoonsgegevens en daarvan afgeleide waarnemerscodes worden niet geleverd. De uri of identity 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rPr>
        <w:t>Wat heeft FLORON bevestigd?</w:t>
      </w:r>
      <w:r>
        <w:t xml:space="preserve"> 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7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bookmarkEnd w:id="46"/>
    <w:bookmarkStart w:id="47" w:name="stikstofdepositie"/>
    <w:p>
      <w:pPr>
        <w:pStyle w:val="BodyText"/>
      </w:pPr>
      <w:r>
        <w:rPr>
          <w:b/>
        </w:rPr>
        <w:t>Gebruik en grens.</w:t>
      </w:r>
      <w:r>
        <w:t xml:space="preserve"> De huidige tabel beschrijft maaiveldhoogte en hoogtevariatie per plot. Eén peiljaar geeft geen ontwikkeling door de tijd en een DTM meet geen vegetatiehoogte. AHN stelt per cyclus zowel een digitaal terreinmodel als een digitaal oppervlaktemodel beschikbaar. Het verschil DSM–DTM kan daarom als vegetatiehoogteproxy worden onderzocht, maar alleen na vaststelling van het werkelijke inwinningsjaar in Meijendel en controle op gebouwen, water en andere niet-vegetatieobjecten. Zo'n laag is nog niet voor de vogel–vegetatieanalyse afgeleid of in de database opgenomen.</w:t>
      </w:r>
    </w:p>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rPr>
        <w:t>Remote sensing van vegetatiehoogte en -bedekking:</w:t>
      </w:r>
      <w:r>
        <w:t xml:space="preserve"> WUR beschreef kaarten voor 2008 en 2014; TU Delft beschreef elf beeldmomenten uit 2019–2021. De afgeleide onderzoeksrasters zijn nog niet als openbare dataset gevonden. De AHN-dataroom biedt wel de landelijke DTM- en DSM-bronnen voor meerdere cycli. Daarmee kan een reproduceerbare vegetatiehoogteproxy worden afgeleid, maar niet zonder lokale kwaliteitscontrole en koppeling aan de feitelijke inwinningsjaren. Deze kandidaatbron is daarom beschikbaar voor een gerichte vervolgtoets, niet reeds analyseklaar.</w:t>
      </w:r>
    </w:p>
    <w:p>
      <w:pPr>
        <w:pStyle w:val="BodyText"/>
      </w:pPr>
      <w:r>
        <w:rPr>
          <w:b/>
        </w:rPr>
        <w:t>Landbedekking in vogelplots:</w:t>
      </w:r>
      <w:r>
        <w:t xml:space="preserve"> de openbare studie van Schmidt-Tauscher, Häger en Van der Hagen uit 2025 behandelt 25 BMP-plots met samen 925 hectare. Het openbare supplement bevat de volledige tabel met de oppervlakte van zeven landbedekkingsklassen per plot in 2001 en 2022: struweel, bos, boomgroepen, lage vegetatie, riet, kaal zand en water. De classificatie is afgeleid uit luchtfoto's, teruggebracht tot pixels van 5 bij 5 meter en had een totale nauwkeurigheid van 81% in 2001 en 82% in 2022. De bron-Excel is op 11 oktober 2026 reproduceerbaar in de lokale broedvogel–vegetatieanalyse gebruikt en met SHA256 in het uitvoermanifest vastgelegd; zij is niet als nieuwe brontabel in de levende database geïmporteerd. M17 heeft in de actuele vogelmatrix geen territoriumplotjaar en valt uit de modellen. De overige vogelgroepen gebruiken 22–24 plots. Bij M71 is in beide jaren 47,89 van 48,46 hectare geclassificeerd; de ontbrekende 0,57 hectare blijft zichtbaar en de klasseaandelen zijn alleen over het geclassificeerde deel berekend.</w:t>
      </w:r>
    </w:p>
    <w:p>
      <w:pPr>
        <w:pStyle w:val="BodyText"/>
      </w:pPr>
      <w:r>
        <w:t>De plot-tabel voegt een ecologisch specifiekere verklarende laag toe dan de CBS-landgebruikgegevens voor 55 plots in 1996, 2010, 2015, 2017 en 2022. Wateroppervlak leverde in alle vijf ruimtelijke validatieblokken een betere logscore voor watervogels. Voor de overige vogelgroepen waren de scores gemengd of te veel modellen numeriek ongeldig; van de 36 landbedekkingsvalidaties slaagden er 18. De geclassificeerde rasters zelf zitten niet in het openbare supplement; de auteurs vermelden dat de gebruikte en gemaakte datasets op verzoek verkrijgbaar zijn. Met die rasters zouden ook ruimtelijke samenhang, versnippering, randen en vegetatiemozaïek kunnen worden onderzocht. Het blijven twee momentopnamen binnen 25 plots; zij meten geen jaarlijkse ontwikkeling, vegetatiehoogte,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