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Xdea145a7474320bcc321aebaf5687f9ab4d02fb"/>
    <w:p>
      <w:pPr>
        <w:pStyle w:val="Heading1"/>
      </w:pPr>
      <w:r>
        <w:rPr>
          <w:color w:val="000000"/>
          <w:u w:val="none"/>
        </w:rPr>
        <w:t xml:space="preserve">Bronregister ecologische gegevens Meijendel</w:t>
      </w:r>
    </w:p>
    <w:p>
      <w:pPr>
        <w:pStyle w:val="FirstParagraph"/>
      </w:pPr>
      <w:r>
        <w:rPr>
          <w:b/>
          <w:bCs/>
        </w:rPr>
      </w:r>
      <w:r>
        <w:rPr>
          <w:b/>
        </w:rPr>
        <w:t>Stand: 2 oktober 2026.</w:t>
      </w:r>
    </w:p>
    <w:p>
      <w:pPr>
        <w:pStyle w:val="BodyText"/>
      </w:pPr>
      <w:r>
        <w:t xml:space="preserve">Dit register bevat informatie over:</w:t>
      </w:r>
    </w:p>
    <w:p>
      <w:pPr>
        <w:numPr>
          <w:ilvl w:val="0"/>
          <w:numId w:val="1001"/>
        </w:numPr>
      </w:pPr>
      <w:r>
        <w:t xml:space="preserve">ecologische gegevens van Meijendel;</w:t>
      </w:r>
    </w:p>
    <w:p>
      <w:pPr>
        <w:numPr>
          <w:ilvl w:val="0"/>
          <w:numId w:val="1001"/>
        </w:numPr>
      </w:pPr>
      <w:r>
        <w:t xml:space="preserve">waar die gegevens staan in GitHub;</w:t>
      </w:r>
    </w:p>
    <w:p>
      <w:pPr>
        <w:numPr>
          <w:ilvl w:val="0"/>
          <w:numId w:val="1001"/>
        </w:numPr>
      </w:pPr>
      <w:r>
        <w:t xml:space="preserve">wie de oorspronkelijke bron beheert; en</w:t>
      </w:r>
    </w:p>
    <w:p>
      <w:pPr>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bookmarkStart w:id="9" w:name="de-statussen"/>
    <w:p>
      <w:pPr>
        <w:pStyle w:val="Heading2"/>
      </w:pPr>
      <w:r>
        <w:rPr>
          <w:color w:val="000000"/>
          <w:u w:val="none"/>
        </w:rPr>
        <w:t xml:space="preserve">De statussen</w:t>
      </w:r>
    </w:p>
    <w:p>
      <w:pPr>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numPr>
          <w:ilvl w:val="0"/>
          <w:numId w:val="1002"/>
        </w:numPr>
      </w:pPr>
      <w:r>
        <w:rPr>
          <w:b/>
          <w:bCs/>
        </w:rPr>
        <w:t xml:space="preserve">Voorwaardelijk bruikbaar</w:t>
      </w:r>
      <w:r>
        <w:t xml:space="preserve">: positieve waarnemingen zijn bruikbaar, maar voor trends ontbreekt nog een deel van de oorspronkelijke meetstructuur.</w:t>
      </w:r>
    </w:p>
    <w:p>
      <w:pPr>
        <w:numPr>
          <w:ilvl w:val="0"/>
          <w:numId w:val="1002"/>
        </w:numPr>
      </w:pPr>
      <w:r>
        <w:rPr>
          <w:b/>
          <w:bCs/>
        </w:rPr>
        <w:t xml:space="preserve">Context</w:t>
      </w:r>
      <w:r>
        <w:t xml:space="preserve">: de bron is inhoudelijk relevant, maar mag niet in de gewone Meijendel-analyses worden gebruikt omdat de locatie per waarneming ontbreekt.</w:t>
      </w:r>
    </w:p>
    <w:p>
      <w:pPr>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numPr>
          <w:ilvl w:val="0"/>
          <w:numId w:val="1003"/>
        </w:numPr>
      </w:pPr>
      <w:r>
        <w:t xml:space="preserve">de vogelreeks, provinciale PQ-reeks, bevestigde SOVON-zoogdierbezoeken en historische vangblikreeks zijn nu de sterkste statistische bronnen;</w:t>
      </w:r>
    </w:p>
    <w:p>
      <w:pPr>
        <w:numPr>
          <w:ilvl w:val="0"/>
          <w:numId w:val="1003"/>
        </w:numPr>
      </w:pPr>
      <w:r>
        <w:t xml:space="preserve">de NDFF-laag is omvangrijk, maar ondersteunt zonder aanvullende meetstructuur vooral verspreidingsonderzoek;</w:t>
      </w:r>
    </w:p>
    <w:p>
      <w:pPr>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29 september 2026.</w:t>
      </w:r>
      <w:r>
        <w:t xml:space="preserve"> </w:t>
      </w:r>
      <w:r>
        <w:t xml:space="preserve">De levende lokale database bevat nu 27 praktische groepen en 11.660 centrale vermeldingen: 11.659 naamvermeldingen en één uitdrukkelijk onbepaald operationeel collectieobject. De tabel met bronkoppelingen bevat 30.035 rijen: alle 18.437 oorspronkelijke bronbesluiten, drie eerdere identificatie-aliassen, 6.121 volledig bewaarde oorspronkelijke taxoncontexten, 5.473 aanvullende brongebruiken voor afgeleide meet-/doelsoortregels en de koppeling van het onbepaalde object. Van de oorspronkelijke besluiten blijven 18.350 actief en 87 als eerdere versies bewaard.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bookmarkEnd w:id="9"/>
    <w:bookmarkStart w:id="10" w:name="overkoepelende-analysegeschiktheid"/>
    <w:p>
      <w:pPr>
        <w:pStyle w:val="Heading2"/>
      </w:pPr>
      <w:r>
        <w:rPr>
          <w:color w:val="000000"/>
          <w:u w:val="none"/>
        </w:rPr>
        <w:t xml:space="preserve">Overkoepelende analysegeschiktheid</w:t>
      </w:r>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bookmarkEnd w:id="10"/>
    <w:bookmarkStart w:id="11" w:name="beheerregel"/>
    <w:p>
      <w:pPr>
        <w:pStyle w:val="Heading2"/>
      </w:pPr>
      <w:r>
        <w:rPr>
          <w:color w:val="000000"/>
          <w:u w:val="none"/>
        </w:rPr>
        <w:t xml:space="preserve">Beheerregel</w:t>
      </w:r>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bookmarkEnd w:id="11"/>
    <w:bookmarkStart w:id="51" w:name="bronnen-in-mysql-database-meijendel"/>
    <w:p>
      <w:pPr>
        <w:pStyle w:val="Heading2"/>
      </w:pPr>
      <w:r>
        <w:rPr>
          <w:color w:val="000000"/>
          <w:u w:val="none"/>
        </w:rPr>
        <w:t xml:space="preserve">1. Bronnen in MySQL-database</w:t>
      </w:r>
      <w:r>
        <w:rPr>
          <w:color w:val="000000"/>
          <w:u w:val="none"/>
        </w:rPr>
        <w:t xml:space="preserve"> </w:t>
      </w:r>
      <w:r>
        <w:rPr>
          <w:rStyle w:val="VerbatimChar"/>
          <w:color w:val="000000"/>
          <w:u w:val="none"/>
        </w:rPr>
        <w:t xml:space="preserve">Meijendel</w:t>
      </w:r>
    </w:p>
    <w:bookmarkStart w:id="12" w:name="Xccd8cb4345e3f59364194a2576f706cc2c0a66e"/>
    <w:p>
      <w:pPr>
        <w:pStyle w:val="Heading3"/>
      </w:pPr>
      <w:r>
        <w:rPr>
          <w:color w:val="000000"/>
          <w:u w:val="none"/>
        </w:rPr>
        <w:t xml:space="preserve">1.1. Vogelgegevens van Vogelwerkgroep Meijendel en SOVON</w:t>
      </w:r>
    </w:p>
    <w:p>
      <w:pPr>
        <w:pStyle w:val="FirstParagraph"/>
      </w:pPr>
      <w:r>
        <w:rPr>
          <w:b/>
          <w:bCs/>
        </w:rPr>
        <w:t xml:space="preserve">Omvang en periode.</w:t>
      </w:r>
      <w:r>
        <w:t xml:space="preserve"> </w:t>
      </w:r>
      <w:r>
        <w:t xml:space="preserve">De database bevat 1.063.936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rPr>
        <w:t xml:space="preserve">Aanvullende SOVON-jaarleveringen, 2 oktober 2026. </w:t>
      </w:r>
      <w:r>
        <w:t>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De 42 territoriummatrices bevatten 222.852 plot-soortregels: 52.450 positieve resultaten, 86.983 expliciete nulcellen en 83.419 lege cellen. Een lege cel geldt niet als nul. De puntlagen bevatten 22.305 bronwaarnemingen die nog niet in dagwaarnemingen_bmp staan; omgekeerd ontbreekt geen bestaande SOVON-bron-ID in de nieuwe levering. Bij 2.629 gedeelde bron-ID's levert SOVON broedcode 0 terwijl de database NULL 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rPr>
        <w:t xml:space="preserve">Jaarcontrole 1984, 2 oktober 2026. </w:t>
      </w:r>
      <w:r>
        <w:t>De SOVON-download bevat 230 bezoeken in 16 plots. Alle 230 bezoeken zijn inhoudelijk gelijk aan de 230 bezoeken onder bron sovon_m in de levende database. Voor 15 bezochte plotjaren bevat de download 568 positieve vogelcellen met samen 7.811 territoria, 860 expliciete nulcellen en 18 lege soortcellen. Die 18 cellen zijn leeg binnen plotjaren die voor andere soorten wel resultaten bevatten; zij zijn niet als nul verwerkt. In de ontvangstlaag zijn voor deze 15 plotjaren 222 bezoeken en alle 1.446 cellen vastgelegd. De 40 geselecteerde maar niet-bezochte plots met 3.497 uitsluitend lege vogelcellen zijn genegeerd.</w:t>
      </w:r>
    </w:p>
    <w:p>
      <w:pPr>
        <w:pStyle w:val="BodyText"/>
      </w:pPr>
      <w:r>
        <w:rPr>
          <w:b/>
        </w:rPr>
        <w:t xml:space="preserve">M35. </w:t>
      </w:r>
      <w:r>
        <w:t>M35 is nog niet ingevoerd. De SOVON-download bevat voor M35 acht bezoeken en 49 lege vogelcellen, zonder positieve waarde of expliciete nul. De levende database bevat dezelfde acht bezoeken onder sovon_m, geen territoriumregel onder sovon_m, en 13 afzonderlijke regels met samen 106 territoria onder jrvslg_m.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 SOVON-verwerking. Van de 568 positieve SOVON-cellen zijn er 562 exact gelijk aan sovon_m. De overige zes zijn meeuwenwaarden voor M7, M8, M4-5 en M16s. Zij zijn als SOVON-bronconflict bewaard, maar meeuwen_literatuur blijft voor deze zes plot-soortcombinaties leidend in territoria. De kerntabellen dagbezoeken_bmp (14.455 regels), dagwaarnemingen_bmp (600.959), territoria (71.013) en plot_jaar_teller (2.453) zijn niet gewijzigd.</w:t>
      </w:r>
    </w:p>
    <w:p>
      <w:pPr>
        <w:pStyle w:val="BodyText"/>
      </w:pPr>
      <w:r>
        <w:rPr>
          <w:b/>
        </w:rPr>
        <w:t xml:space="preserve">Analytische nulstatus. </w:t>
      </w:r>
      <w:r>
        <w:t>De data-eigenaar heeft op 2 oktober 2026 besloten de actuele officiële SOVON BMP-A-soortenlijst vanaf 1984 toe te passen. Lijstversie sovon-bmp-a-actueel-retroactief-vanaf-1984-v1 gebruikt het officiële PDF-bestand met SHA-256 3af7adf5febb2164d554246882ead82d93efd9bb505b8c195fc842e09fa67b39. De 15 goedgekeurde, volledig getelde BMP-A-plotjaren zijn eraan gekoppeld; de lijsttaxontabel bevat de 187 vogeltaxa die in de 1984-matrix voorkomen. Daarmee bevat v_sovon_bmp_analyse voor 1984 860 notDetected-regels en 562 niet-conflicterende detected-regels. De zes meeuwenconflicten blijven in de ontvangstlaag, maar zijn uit deze analyseview uitgesloten. Zeven historische SOVON-broncategorieën die niet onder dezelfde naam in de actuele lijst staan - Barmsijs, Beflijster, Bosruiter, Goudplevier, Klapekster, Koperwiek en Kuifleeuwerik - blijven onder hun oorspronkelijke naam en bestaande centrale bronkoppeling bewaard. De retroactieve BMP-A-toepassing is geen taxonomische conceptfusie.</w:t>
      </w:r>
    </w:p>
    <w:p>
      <w:pPr>
        <w:pStyle w:val="BodyText"/>
      </w:pPr>
      <w:r>
        <w:rPr>
          <w:b/>
        </w:rPr>
        <w:t xml:space="preserve">Kavel 16 en 16s. </w:t>
      </w:r>
      <w:r>
        <w:t>Voor kavel 16 vermeldt het verslag dat in 1984 alleen het centrale deel is geïnventariseerd. De bestaande geaccepteerde historische kavelmapping koppelt 16S aan SOVON-plot 29456 (M16s). Dit past bij de download: M16s bevat 15 bezoeken en 90 vogelcellen, waarvan 47 positief, 42 expliciete nul en één leeg; M16 bevat geen bezoeken en 99 lege cellen. De historische verslagnaam 16 verklaart dat plot_jaar_teller de teller op M16 registreert, maar bewijst niet dat het volledige huidige M16 is geteld. De tellerregel is daarom niet verplaatst. De volledige centrale nacontrole omvat 132 taxonroutes en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rPr>
        <w:t>Telleridentificatie, 1 oktober 2026.</w:t>
      </w:r>
      <w:r>
        <w:t xml:space="preserve"> Voor telleridentificatie is plot_jaar_teller in de levende lokale database de leidende projectregistratie. Een vergelijking met waarnemer 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 plot_jaar_teller. Inhoudelijke controle door de data-eigenaar toont concrete AVIMAP-toeschrijvingen aan kavels die de genoemde waarnemer niet heeft geteld. Het AVIMAP-veld wordt daarom niet gebruikt om plot_jaar_teller 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 plot_jaar_teller en houden tellerteams en ontbrekende koppelingen afzonderlijk herkenbaar. Op basis van inhoudelijke vaststelling door de data-eigenaar zijn vier koppelingen aan de levende tabel toegevoegd: 2010/M54a–AZNA00 (plot_id 12381), 2012/M66–WCLE00 (plot_id 3503), 2018/M34–B_0097 (plot_id 3496) en 2018/M8–B_0098 (plot_id 3530). plot_jaar_teller bevat daarna 2.453 regels.</w:t>
      </w:r>
    </w:p>
    <w:p>
      <w:pPr>
        <w:pStyle w:val="BodyText"/>
      </w:pPr>
      <w:r>
        <w:rPr>
          <w:b/>
        </w:rPr>
        <w:t>Goedkeuringsstatus territoria, 1 oktober 2026.</w:t>
      </w:r>
      <w:r>
        <w:t xml:space="preserve"> De inhoudelijke regel is dat territoria uitsluitend formele territoria uit goedgekeurde tellingen hoort te bevatten. De data-eigenaar heeft elf plotjaren als afgekeurd vastgesteld: 2009/M35, 2009/M36, 2012/M105, 2012/M54a, 2015/M53, 2018/M54b, 2018/M55, 2019/M78/79, 2019/M8, 2021/M61 en 2022/M1a. Acht daarvan stonden in territoria. De 142 betrokken regels met 1.017 territoria zijn op 1 oktober 2026, na gerichte herstelkopieën, uit de levende tabel verwijderd. Voor 2012/M105, 2015/M53 en 2021/M61 stonden al geen territoriumregels in de tabel. territoria bevat daarna 71.013 regels; geen van de elf afgekeurde plotjaren komt er nog in voor. 2016/M62 (1 regel, 1 territorium) was een afzonderlijke roofvogeltelling en vervalt uit de BMP-tellersensitiviteitsanalyse; dit is een uitzondering op de vergelijkbaarheid, niet op de goedkeuringsstatus. dagbezoeken_bmp en dagwaarnemingen_bmp kunnen nog wel gegevens uit niet-goedgekeurde tellingen bevatten en zijn daarom op zichzelf geen goedkeuringsbewijs. Het ontbreken van een territoriumregel bewijst omgekeerd niet zonder meer dat een telling is afgekeurd. De eerder ontbrekende tellerkoppelingen voor 2010/M54a, 2012/M66, 2018/M34 en 2018/M8 zijn inmiddels in plot_jaar_teller vastgelegd. Analyses gebruiken uitsluitend inhoudelijk goedgekeurde, protocolmatig vergelijkbare territoriumuitkomsten en de bijbehorende plot_jaar_teller-registraties.</w:t>
      </w:r>
    </w:p>
    <w:p>
      <w:pPr>
        <w:pStyle w:val="BodyText"/>
      </w:pPr>
      <w:r>
        <w:rPr>
          <w:b/>
        </w:rPr>
        <w:t>Natura 2000-analysescope vogelplots, vastgesteld 1 oktober 2026.</w:t>
      </w:r>
      <w:r>
        <w:t xml:space="preserve"> De geldige bronverzameling territoria bevat 71.013 regels, 54 plots en 2.168 plotjaren uit 1958–2025. M66 (Haagsche Golf Club, plot_id = 3503) bevat daarin 1.593 regels en 10.420 territoria in 39 jaren uit 1985–2025. M91 (Voorlinden, plot_id = 3514) bevat 774 regels en 4.672 territoria in 18 jaren uit 1993–2021. Beide plots blijven als geldige brondata bewaard, maar hebben in plot_analyse_scope onder meijendel_natura2000 de status in_scope = 0 met reden Geen onderdeel van Natura 2000-analysegebied. De standaardselectie via v_meijendel_analyseplot_actueel bevat daardoor 68.646 territoriumregels, 52 plots en 2.111 plotjaren uit 1958–2025. Repositoryberekeningen gebruiken deze scope standaard en nemen M66 en/of M91 alleen mee na een uitdrukkelijke keuze van de gebruiker. plots.in_gebruik beschrijft alleen actueel gebruik en bepaalt deze inhoudelijke grens niet.</w:t>
      </w:r>
    </w:p>
    <w:bookmarkEnd w:id="12"/>
    <w:bookmarkStart w:id="13" w:name="provinciale-permanente-kwadraten"/>
    <w:p>
      <w:pPr>
        <w:pStyle w:val="Heading3"/>
      </w:pPr>
      <w:r>
        <w:rPr>
          <w:color w:val="000000"/>
          <w:u w:val="none"/>
        </w:rPr>
        <w:t xml:space="preserve">1.2. Provinciale permanente kwadraten</w:t>
      </w:r>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bookmarkEnd w:id="13"/>
    <w:bookmarkStart w:id="14" w:name="Xded6c184b9a569c146345b6e935b052f391caf7"/>
    <w:p>
      <w:pPr>
        <w:pStyle w:val="Heading3"/>
      </w:pPr>
      <w:r>
        <w:rPr>
          <w:color w:val="000000"/>
          <w:u w:val="none"/>
        </w:rPr>
        <w:t xml:space="preserve">1.3. Zoogdieren tijdens SOVON- en VWG-bezoeken</w:t>
      </w:r>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bookmarkEnd w:id="14"/>
    <w:bookmarkStart w:id="16" w:name="historisch-vangblikonderzoek"/>
    <w:p>
      <w:pPr>
        <w:pStyle w:val="Heading3"/>
      </w:pPr>
      <w:r>
        <w:rPr>
          <w:color w:val="000000"/>
          <w:u w:val="none"/>
        </w:rPr>
        <w:t xml:space="preserve">1.4. Historisch vangblikonderzoek</w:t>
      </w:r>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5">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bookmarkEnd w:id="16"/>
    <w:bookmarkStart w:id="34" w:name="X003d1b4454050d8b2300662d18ee0e6097f4328"/>
    <w:p>
      <w:pPr>
        <w:pStyle w:val="Heading3"/>
      </w:pPr>
      <w:r>
        <w:rPr>
          <w:color w:val="000000"/>
          <w:u w:val="none"/>
        </w:rPr>
        <w:t xml:space="preserve">1.5. NDFF: één canonieke laag van openbare en beveiligde gegevens</w:t>
      </w:r>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bookmarkStart w:id="17" w:name="dagvlinders"/>
    <w:p>
      <w:pPr>
        <w:pStyle w:val="Heading4"/>
      </w:pPr>
      <w:r>
        <w:rPr>
          <w:color w:val="000000"/>
          <w:u w:val="none"/>
        </w:rPr>
        <w:t xml:space="preserve">1.5.1. Dagvlinders</w:t>
      </w:r>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bookmarkEnd w:id="17"/>
    <w:bookmarkStart w:id="18" w:name="hommels"/>
    <w:p>
      <w:pPr>
        <w:pStyle w:val="Heading4"/>
      </w:pPr>
      <w:r>
        <w:rPr>
          <w:color w:val="000000"/>
          <w:u w:val="none"/>
        </w:rPr>
        <w:t xml:space="preserve">1.5.2. Hommels</w:t>
      </w:r>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bookmarkEnd w:id="18"/>
    <w:bookmarkStart w:id="19" w:name="libellen"/>
    <w:p>
      <w:pPr>
        <w:pStyle w:val="Heading4"/>
      </w:pPr>
      <w:r>
        <w:rPr>
          <w:color w:val="000000"/>
          <w:u w:val="none"/>
        </w:rPr>
        <w:t xml:space="preserve">1.5.3. Libellen</w:t>
      </w:r>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bookmarkEnd w:id="19"/>
    <w:bookmarkStart w:id="20" w:name="nachtvlinders"/>
    <w:p>
      <w:pPr>
        <w:pStyle w:val="Heading4"/>
      </w:pPr>
      <w:r>
        <w:rPr>
          <w:color w:val="000000"/>
          <w:u w:val="none"/>
        </w:rPr>
        <w:t xml:space="preserve">1.5.4. Nachtvlinders</w:t>
      </w:r>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bookmarkEnd w:id="20"/>
    <w:bookmarkStart w:id="21" w:name="amfibieën"/>
    <w:p>
      <w:pPr>
        <w:pStyle w:val="Heading4"/>
      </w:pPr>
      <w:r>
        <w:rPr>
          <w:color w:val="000000"/>
          <w:u w:val="none"/>
        </w:rPr>
        <w:t xml:space="preserve">1.5.5. Amfibieën</w:t>
      </w:r>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bookmarkEnd w:id="21"/>
    <w:bookmarkStart w:id="22" w:name="reptielen"/>
    <w:p>
      <w:pPr>
        <w:pStyle w:val="Heading4"/>
      </w:pPr>
      <w:r>
        <w:rPr>
          <w:color w:val="000000"/>
          <w:u w:val="none"/>
        </w:rPr>
        <w:t xml:space="preserve">1.5.6. Reptielen</w:t>
      </w:r>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bookmarkEnd w:id="22"/>
    <w:bookmarkStart w:id="23" w:name="vissen"/>
    <w:p>
      <w:pPr>
        <w:pStyle w:val="Heading4"/>
      </w:pPr>
      <w:r>
        <w:rPr>
          <w:color w:val="000000"/>
          <w:u w:val="none"/>
        </w:rPr>
        <w:t xml:space="preserve">1.5.7. Vissen</w:t>
      </w:r>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bookmarkEnd w:id="23"/>
    <w:bookmarkStart w:id="24" w:name="vleermuistransecten"/>
    <w:p>
      <w:pPr>
        <w:pStyle w:val="Heading4"/>
      </w:pPr>
      <w:r>
        <w:rPr>
          <w:color w:val="000000"/>
          <w:u w:val="none"/>
        </w:rPr>
        <w:t xml:space="preserve">1.5.8. Vleermuistransecten</w:t>
      </w:r>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bookmarkEnd w:id="24"/>
    <w:bookmarkStart w:id="25" w:name="konijnentellingen-in-de-duinen"/>
    <w:p>
      <w:pPr>
        <w:pStyle w:val="Heading4"/>
      </w:pPr>
      <w:r>
        <w:rPr>
          <w:color w:val="000000"/>
          <w:u w:val="none"/>
        </w:rPr>
        <w:t xml:space="preserve">1.5.9. Konijnentellingen in de duinen</w:t>
      </w:r>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bookmarkEnd w:id="25"/>
    <w:bookmarkStart w:id="26" w:name="wintertellingen-vleermuizen"/>
    <w:p>
      <w:pPr>
        <w:pStyle w:val="Heading4"/>
      </w:pPr>
      <w:r>
        <w:rPr>
          <w:color w:val="000000"/>
          <w:u w:val="none"/>
        </w:rPr>
        <w:t xml:space="preserve">1.5.10. Wintertellingen vleermuizen</w:t>
      </w:r>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bookmarkEnd w:id="26"/>
    <w:bookmarkStart w:id="27" w:name="het-nieuwe-strepen"/>
    <w:p>
      <w:pPr>
        <w:pStyle w:val="Heading4"/>
      </w:pPr>
      <w:r>
        <w:rPr>
          <w:color w:val="000000"/>
          <w:u w:val="none"/>
        </w:rPr>
        <w:t xml:space="preserve">1.5.11. Het Nieuwe Strepen</w:t>
      </w:r>
    </w:p>
    <w:p>
      <w:pPr>
        <w:pStyle w:val="FirstParagraph"/>
      </w:pPr>
      <w:r>
        <w:rPr>
          <w:b/>
          <w:bCs/>
        </w:rPr>
        <w:t xml:space="preserve">Omvang en periode.</w:t>
      </w:r>
      <w:r>
        <w:t xml:space="preserve"> </w:t>
      </w:r>
      <w:r>
        <w:t xml:space="preserve">4.569 records, 23 lijstkandidaten, 2012–2024</w:t>
      </w:r>
    </w:p>
    <w:p>
      <w:pPr>
        <w:pStyle w:val="BodyText"/>
      </w:pPr>
      <w:r>
        <w:rPr>
          <w:b/>
          <w:bCs/>
        </w:rPr>
        <w:t xml:space="preserve">Wat kan nu?</w:t>
      </w:r>
      <w:r>
        <w:t xml:space="preserve"> </w:t>
      </w:r>
      <w:r>
        <w:t xml:space="preserve">Voorlopige vergelijking van inventarisaties</w:t>
      </w:r>
    </w:p>
    <w:p>
      <w:pPr>
        <w:pStyle w:val="BodyText"/>
      </w:pPr>
      <w:r>
        <w:rPr>
          <w:b/>
          <w:bCs/>
        </w:rPr>
        <w:t xml:space="preserve">Wat ontbreekt voor zelfstandige trends?</w:t>
      </w:r>
      <w:r>
        <w:t xml:space="preserve"> </w:t>
      </w:r>
      <w:r>
        <w:t xml:space="preserve">Oorspronkelijke lijstcodes en bevestiging welke tellingen onafhankelijk zijn</w:t>
      </w:r>
    </w:p>
    <w:bookmarkEnd w:id="27"/>
    <w:bookmarkStart w:id="28" w:name="Xadd682eaf9770b54759a1b54720dedd522bc07f"/>
    <w:p>
      <w:pPr>
        <w:pStyle w:val="Heading4"/>
      </w:pPr>
      <w:r>
        <w:rPr>
          <w:color w:val="000000"/>
          <w:u w:val="none"/>
        </w:rPr>
        <w:t xml:space="preserve">1.5.12. FLORBASE en andere vaatplantinventarisaties</w:t>
      </w:r>
    </w:p>
    <w:p>
      <w:pPr>
        <w:pStyle w:val="FirstParagraph"/>
      </w:pPr>
      <w:r>
        <w:rPr>
          <w:b/>
          <w:bCs/>
        </w:rPr>
        <w:t xml:space="preserve">Omvang en periode.</w:t>
      </w:r>
      <w:r>
        <w:t xml:space="preserve"> </w:t>
      </w:r>
      <w:r>
        <w:t xml:space="preserve">21.374 records, 1974–2025</w:t>
      </w:r>
    </w:p>
    <w:p>
      <w:pPr>
        <w:pStyle w:val="BodyText"/>
      </w:pPr>
      <w:r>
        <w:rPr>
          <w:b/>
          <w:bCs/>
        </w:rPr>
        <w:t xml:space="preserve">Wat kan nu?</w:t>
      </w:r>
      <w:r>
        <w:t xml:space="preserve"> </w:t>
      </w:r>
      <w:r>
        <w:t xml:space="preserve">Verspreiding en floristische context</w:t>
      </w:r>
    </w:p>
    <w:p>
      <w:pPr>
        <w:pStyle w:val="BodyText"/>
      </w:pPr>
      <w:r>
        <w:rPr>
          <w:b/>
          <w:bCs/>
        </w:rPr>
        <w:t xml:space="preserve">Wat ontbreekt voor zelfstandige trends?</w:t>
      </w:r>
      <w:r>
        <w:t xml:space="preserve"> </w:t>
      </w:r>
      <w:r>
        <w:t xml:space="preserve">Oorspronkelijke lijsten, onderzochte gebieden en volledige bezoekstructuur</w:t>
      </w:r>
    </w:p>
    <w:bookmarkEnd w:id="28"/>
    <w:bookmarkStart w:id="29" w:name="lmf-aandachtssoorten"/>
    <w:p>
      <w:pPr>
        <w:pStyle w:val="Heading4"/>
      </w:pPr>
      <w:r>
        <w:rPr>
          <w:color w:val="000000"/>
          <w:u w:val="none"/>
        </w:rPr>
        <w:t xml:space="preserve">1.5.13. LMF-aandachtssoorten</w:t>
      </w:r>
    </w:p>
    <w:p>
      <w:pPr>
        <w:pStyle w:val="FirstParagraph"/>
      </w:pPr>
      <w:r>
        <w:rPr>
          <w:b/>
          <w:bCs/>
        </w:rPr>
        <w:t xml:space="preserve">Omvang en periode.</w:t>
      </w:r>
      <w:r>
        <w:t xml:space="preserve"> </w:t>
      </w:r>
      <w:r>
        <w:t xml:space="preserve">5.980 records, 2000–2025</w:t>
      </w:r>
    </w:p>
    <w:p>
      <w:pPr>
        <w:pStyle w:val="BodyText"/>
      </w:pPr>
      <w:r>
        <w:rPr>
          <w:b/>
          <w:bCs/>
        </w:rPr>
        <w:t xml:space="preserve">Wat kan nu?</w:t>
      </w:r>
      <w:r>
        <w:t xml:space="preserve"> </w:t>
      </w:r>
      <w:r>
        <w:t xml:space="preserve">Positieve aanwezigheid</w:t>
      </w:r>
    </w:p>
    <w:p>
      <w:pPr>
        <w:pStyle w:val="BodyText"/>
      </w:pPr>
      <w:r>
        <w:rPr>
          <w:b/>
          <w:bCs/>
        </w:rPr>
        <w:t xml:space="preserve">Wat ontbreekt voor zelfstandige trends?</w:t>
      </w:r>
      <w:r>
        <w:t xml:space="preserve"> </w:t>
      </w:r>
      <w:r>
        <w:t xml:space="preserve">Oorspronkelijke routes, bezoeken en gevolgde soortenlijst</w:t>
      </w:r>
    </w:p>
    <w:bookmarkEnd w:id="29"/>
    <w:bookmarkStart w:id="30" w:name="mossen-en-korstmossen"/>
    <w:p>
      <w:pPr>
        <w:pStyle w:val="Heading4"/>
      </w:pPr>
      <w:r>
        <w:rPr>
          <w:color w:val="000000"/>
          <w:u w:val="none"/>
        </w:rPr>
        <w:t xml:space="preserve">1.5.14. Mossen en korstmossen</w:t>
      </w:r>
    </w:p>
    <w:p>
      <w:pPr>
        <w:pStyle w:val="FirstParagraph"/>
      </w:pPr>
      <w:r>
        <w:rPr>
          <w:b/>
          <w:bCs/>
        </w:rPr>
        <w:t xml:space="preserve">Omvang en periode.</w:t>
      </w:r>
      <w:r>
        <w:t xml:space="preserve"> </w:t>
      </w:r>
      <w:r>
        <w:t xml:space="preserve">761 records, 2000–2025</w:t>
      </w:r>
    </w:p>
    <w:p>
      <w:pPr>
        <w:pStyle w:val="BodyText"/>
      </w:pPr>
      <w:r>
        <w:rPr>
          <w:b/>
          <w:bCs/>
        </w:rPr>
        <w:t xml:space="preserve">Wat kan nu?</w:t>
      </w:r>
      <w:r>
        <w:t xml:space="preserve"> </w:t>
      </w:r>
      <w:r>
        <w:t xml:space="preserve">Positieve aanwezigheid en voorlopige proefvlakvergelijking</w:t>
      </w:r>
    </w:p>
    <w:p>
      <w:pPr>
        <w:pStyle w:val="BodyText"/>
      </w:pPr>
      <w:r>
        <w:rPr>
          <w:b/>
          <w:bCs/>
        </w:rPr>
        <w:t xml:space="preserve">Wat ontbreekt voor zelfstandige trends?</w:t>
      </w:r>
      <w:r>
        <w:t xml:space="preserve"> </w:t>
      </w:r>
      <w:r>
        <w:t xml:space="preserve">Oorspronkelijke proefvlak-, lijst- en waarnemersgegevens</w:t>
      </w:r>
    </w:p>
    <w:bookmarkEnd w:id="30"/>
    <w:bookmarkStart w:id="31" w:name="bos--en-zeereeppaddenstoelen"/>
    <w:p>
      <w:pPr>
        <w:pStyle w:val="Heading4"/>
      </w:pPr>
      <w:r>
        <w:rPr>
          <w:color w:val="000000"/>
          <w:u w:val="none"/>
        </w:rPr>
        <w:t xml:space="preserve">1.5.15. Bos- en zeereeppaddenstoelen</w:t>
      </w:r>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bookmarkEnd w:id="31"/>
    <w:bookmarkStart w:id="32" w:name="weekdieren"/>
    <w:p>
      <w:pPr>
        <w:pStyle w:val="Heading4"/>
      </w:pPr>
      <w:r>
        <w:rPr>
          <w:color w:val="000000"/>
          <w:u w:val="none"/>
        </w:rPr>
        <w:t xml:space="preserve">1.5.16. Weekdieren</w:t>
      </w:r>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bookmarkEnd w:id="32"/>
    <w:bookmarkStart w:id="33" w:name="snl-gebiedsmonitoring"/>
    <w:p>
      <w:pPr>
        <w:pStyle w:val="Heading4"/>
      </w:pPr>
      <w:r>
        <w:rPr>
          <w:color w:val="000000"/>
          <w:u w:val="none"/>
        </w:rPr>
        <w:t xml:space="preserve">1.5.17. SNL-gebiedsmonitoring</w:t>
      </w:r>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bookmarkEnd w:id="33"/>
    <w:bookmarkEnd w:id="34"/>
    <w:bookmarkStart w:id="43" w:name="openbare-externe-ecologiebronnen"/>
    <w:p>
      <w:pPr>
        <w:pStyle w:val="Heading3"/>
      </w:pPr>
      <w:r>
        <w:rPr>
          <w:color w:val="000000"/>
          <w:u w:val="none"/>
        </w:rPr>
        <w:t xml:space="preserve">1.6. Openbare externe ecologiebronnen</w:t>
      </w:r>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5">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als indeling bereikbaar. De bestaande analyse-ingang levert dezelfde uitkomsten. De overige 2.793 LVD-opnamen met 64.683 resultaten uit 1959–2015 staan onder</w:t>
      </w:r>
      <w:r>
        <w:t xml:space="preserve"> </w:t>
      </w:r>
      <w:r>
        <w:rPr>
          <w:rStyle w:val="VerbatimChar"/>
        </w:rPr>
        <w:t>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6">
        <w:r>
          <w:rPr>
            <w:rStyle w:val="Hyperlink"/>
          </w:rPr>
          <w:t xml:space="preserve">het taxonregister</w:t>
        </w:r>
      </w:hyperlink>
      <w:r>
        <w:t xml:space="preserve">.</w:t>
      </w:r>
    </w:p>
    <w:bookmarkStart w:id="37" w:name="stowa-limnodata"/>
    <w:p>
      <w:pPr>
        <w:pStyle w:val="Heading4"/>
      </w:pPr>
      <w:r>
        <w:rPr>
          <w:color w:val="000000"/>
          <w:u w:val="none"/>
        </w:rPr>
        <w:t xml:space="preserve">1.6.1. STOWA Limnodata</w:t>
      </w:r>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bookmarkEnd w:id="37"/>
    <w:bookmarkStart w:id="38" w:name="endure-helmduinfauna"/>
    <w:p>
      <w:pPr>
        <w:pStyle w:val="Heading4"/>
      </w:pPr>
      <w:r>
        <w:rPr>
          <w:color w:val="000000"/>
          <w:u w:val="none"/>
        </w:rPr>
        <w:t xml:space="preserve">1.6.2. ENDURE helmduinfauna</w:t>
      </w:r>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bookmarkEnd w:id="38"/>
    <w:bookmarkStart w:id="39" w:name="landelijke-vegetatie-databank"/>
    <w:p>
      <w:pPr>
        <w:pStyle w:val="Heading4"/>
      </w:pPr>
      <w:r>
        <w:rPr>
          <w:color w:val="000000"/>
          <w:u w:val="none"/>
        </w:rPr>
        <w:t xml:space="preserve">1.6.3. Landelijke Vegetatie Databank</w:t>
      </w:r>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bookmarkEnd w:id="39"/>
    <w:bookmarkStart w:id="40" w:name="historische-vlinder--en-motcollectie"/>
    <w:p>
      <w:pPr>
        <w:pStyle w:val="Heading4"/>
      </w:pPr>
      <w:r>
        <w:rPr>
          <w:color w:val="000000"/>
          <w:u w:val="none"/>
        </w:rPr>
        <w:t xml:space="preserve">1.6.4. Historische vlinder- en motcollectie</w:t>
      </w:r>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bookmarkEnd w:id="40"/>
    <w:bookmarkStart w:id="41" w:name="naturalis-botany"/>
    <w:p>
      <w:pPr>
        <w:pStyle w:val="Heading4"/>
      </w:pPr>
      <w:r>
        <w:rPr>
          <w:color w:val="000000"/>
          <w:u w:val="none"/>
        </w:rPr>
        <w:t xml:space="preserve">1.6.5. Naturalis Botany</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bookmarkEnd w:id="41"/>
    <w:bookmarkStart w:id="42" w:name="naturalis-coleoptera"/>
    <w:p>
      <w:pPr>
        <w:pStyle w:val="Heading4"/>
      </w:pPr>
      <w:r>
        <w:rPr>
          <w:color w:val="000000"/>
          <w:u w:val="none"/>
        </w:rPr>
        <w:t xml:space="preserve">1.6.6. Naturalis Coleoptera</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bookmarkEnd w:id="42"/>
    <w:bookmarkEnd w:id="43"/>
    <w:bookmarkStart w:id="44" w:name="X5d611a31ac68a696fd179c2c85c282500afefc7"/>
    <w:p>
      <w:pPr>
        <w:pStyle w:val="Heading3"/>
      </w:pPr>
      <w:r>
        <w:rPr>
          <w:color w:val="000000"/>
          <w:u w:val="none"/>
        </w:rPr>
        <w:t xml:space="preserve">1.7. Openstaande ruimtelijke toelatingscontrole</w:t>
      </w:r>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bookmarkEnd w:id="44"/>
    <w:bookmarkStart w:id="50" w:name="verklarende-omgevingslagen"/>
    <w:p>
      <w:pPr>
        <w:pStyle w:val="Heading3"/>
      </w:pPr>
      <w:r>
        <w:rPr>
          <w:color w:val="000000"/>
          <w:u w:val="none"/>
        </w:rPr>
        <w:t xml:space="preserve">1.8. Verklarende omgevingslagen</w:t>
      </w:r>
    </w:p>
    <w:p>
      <w:pPr>
        <w:pStyle w:val="FirstParagraph"/>
      </w:pPr>
      <w:r>
        <w:t xml:space="preserve">Deze gegevens zijn geen soortenwaarnemingen. Zij kunnen wel helpen om ecologische veranderingen te beschrijven of als mogelijke verklaring te toetsen.</w:t>
      </w:r>
    </w:p>
    <w:bookmarkStart w:id="45" w:name="dagelijks-weer"/>
    <w:p>
      <w:pPr>
        <w:pStyle w:val="Heading4"/>
      </w:pPr>
      <w:r>
        <w:rPr>
          <w:color w:val="000000"/>
          <w:u w:val="none"/>
        </w:rPr>
        <w:t xml:space="preserve">1.8.1. Dagelijks weer</w:t>
      </w:r>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bookmarkEnd w:id="45"/>
    <w:bookmarkStart w:id="46" w:name="hoogte"/>
    <w:p>
      <w:pPr>
        <w:pStyle w:val="Heading4"/>
      </w:pPr>
      <w:r>
        <w:rPr>
          <w:color w:val="000000"/>
          <w:u w:val="none"/>
        </w:rPr>
        <w:t xml:space="preserve">1.8.2. Hoogte</w:t>
      </w:r>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bookmarkEnd w:id="46"/>
    <w:bookmarkStart w:id="47" w:name="stikstofdepositie"/>
    <w:p>
      <w:pPr>
        <w:pStyle w:val="Heading4"/>
      </w:pPr>
      <w:r>
        <w:rPr>
          <w:color w:val="000000"/>
          <w:u w:val="none"/>
        </w:rPr>
        <w:t xml:space="preserve">1.8.3. Stikstofdepositie</w:t>
      </w:r>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bookmarkEnd w:id="47"/>
    <w:bookmarkStart w:id="48" w:name="bodemgebruik"/>
    <w:p>
      <w:pPr>
        <w:pStyle w:val="Heading4"/>
      </w:pPr>
      <w:r>
        <w:rPr>
          <w:color w:val="000000"/>
          <w:u w:val="none"/>
        </w:rPr>
        <w:t xml:space="preserve">1.8.4. Bodemgebruik</w:t>
      </w:r>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bookmarkEnd w:id="48"/>
    <w:bookmarkStart w:id="49" w:name="natura-2000-habitat"/>
    <w:p>
      <w:pPr>
        <w:pStyle w:val="Heading4"/>
      </w:pPr>
      <w:r>
        <w:rPr>
          <w:color w:val="000000"/>
          <w:u w:val="none"/>
        </w:rPr>
        <w:t xml:space="preserve">1.8.5. Natura 2000-habitat</w:t>
      </w:r>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bookmarkEnd w:id="49"/>
    <w:bookmarkEnd w:id="50"/>
    <w:bookmarkEnd w:id="51"/>
    <w:bookmarkStart w:id="59" w:name="X3b532014da7425692b0b753bfd67f02e729afe2"/>
    <w:p>
      <w:pPr>
        <w:pStyle w:val="Heading2"/>
      </w:pPr>
      <w:r>
        <w:rPr>
          <w:color w:val="000000"/>
          <w:u w:val="none"/>
        </w:rPr>
        <w:t xml:space="preserve">2. Bronnen in MySQL-database</w:t>
      </w:r>
      <w:r>
        <w:rPr>
          <w:color w:val="000000"/>
          <w:u w:val="none"/>
        </w:rPr>
        <w:t xml:space="preserve"> </w:t>
      </w:r>
      <w:r>
        <w:rPr>
          <w:rStyle w:val="VerbatimChar"/>
          <w:color w:val="000000"/>
          <w:u w:val="none"/>
        </w:rPr>
        <w:t xml:space="preserve">Meijendel_bronnen</w:t>
      </w:r>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bookmarkStart w:id="53" w:name="duinvalleivegetatie"/>
    <w:p>
      <w:pPr>
        <w:pStyle w:val="Heading3"/>
      </w:pPr>
      <w:r>
        <w:rPr>
          <w:color w:val="000000"/>
          <w:u w:val="none"/>
        </w:rPr>
        <w:t xml:space="preserve">2.1. Duinvalleivegetatie</w:t>
      </w:r>
    </w:p>
    <w:p>
      <w:pPr>
        <w:pStyle w:val="FirstParagraph"/>
      </w:pPr>
      <w:r>
        <w:rPr>
          <w:b/>
          <w:bCs/>
        </w:rPr>
        <w:t xml:space="preserve">Beheerder.</w:t>
      </w:r>
      <w:r>
        <w:t xml:space="preserve"> </w:t>
      </w:r>
      <w:r>
        <w:t xml:space="preserve">Openbare onderzoeksdataset,</w:t>
      </w:r>
      <w:r>
        <w:t xml:space="preserve"> </w:t>
      </w:r>
      <w:hyperlink r:id="rId52">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bookmarkEnd w:id="53"/>
    <w:bookmarkStart w:id="54" w:name="vogelstand-1924"/>
    <w:p>
      <w:pPr>
        <w:pStyle w:val="Heading3"/>
      </w:pPr>
      <w:r>
        <w:rPr>
          <w:color w:val="000000"/>
          <w:u w:val="none"/>
        </w:rPr>
        <w:t xml:space="preserve">2.2. Vogelstand 1924</w:t>
      </w:r>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bookmarkEnd w:id="54"/>
    <w:bookmarkStart w:id="55" w:name="jachtspinnen"/>
    <w:p>
      <w:pPr>
        <w:pStyle w:val="Heading3"/>
      </w:pPr>
      <w:r>
        <w:rPr>
          <w:color w:val="000000"/>
          <w:u w:val="none"/>
        </w:rPr>
        <w:t xml:space="preserve">2.3. Jachtspinnen</w:t>
      </w:r>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bookmarkEnd w:id="55"/>
    <w:bookmarkStart w:id="56" w:name="literatuuroverzicht"/>
    <w:p>
      <w:pPr>
        <w:pStyle w:val="Heading3"/>
      </w:pPr>
      <w:r>
        <w:rPr>
          <w:color w:val="000000"/>
          <w:u w:val="none"/>
        </w:rPr>
        <w:t xml:space="preserve">2.4. Literatuuroverzicht</w:t>
      </w:r>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bookmarkEnd w:id="56"/>
    <w:bookmarkStart w:id="57" w:name="bijenmonitoring-in-vier-beheergebieden"/>
    <w:p>
      <w:pPr>
        <w:pStyle w:val="Heading3"/>
      </w:pPr>
      <w:r>
        <w:rPr>
          <w:color w:val="000000"/>
          <w:u w:val="none"/>
        </w:rPr>
        <w:t xml:space="preserve">2.5. Bijenmonitoring in vier beheergebieden</w:t>
      </w:r>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bookmarkEnd w:id="57"/>
    <w:bookmarkStart w:id="58" w:name="aquatische-macrofauna-19741975"/>
    <w:p>
      <w:pPr>
        <w:pStyle w:val="Heading3"/>
      </w:pPr>
      <w:r>
        <w:rPr>
          <w:color w:val="000000"/>
          <w:u w:val="none"/>
        </w:rPr>
        <w:t xml:space="preserve">2.6. Aquatische macrofauna 1974–1975</w:t>
      </w:r>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bookmarkEnd w:id="58"/>
    <w:bookmarkEnd w:id="59"/>
    <w:bookmarkStart w:id="79" w:name="Xae67a70ad36e2d1d11a7d910c2e5a6d669a3a5f"/>
    <w:p>
      <w:pPr>
        <w:pStyle w:val="Heading2"/>
      </w:pPr>
      <w:r>
        <w:rPr>
          <w:color w:val="000000"/>
          <w:u w:val="none"/>
        </w:rPr>
        <w:t xml:space="preserve">3. Geïdentificeerde externe kandidaatbronnen</w:t>
      </w:r>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bookmarkStart w:id="76" w:name="Xd53aceb4d9e4863cdbb6367737be5e291cdac65"/>
    <w:p>
      <w:pPr>
        <w:pStyle w:val="Heading3"/>
      </w:pPr>
      <w:r>
        <w:rPr>
          <w:color w:val="000000"/>
          <w:u w:val="none"/>
        </w:rPr>
        <w:t xml:space="preserve">Kandidaten met de grootste verwachte aanvulling</w:t>
      </w:r>
    </w:p>
    <w:bookmarkStart w:id="60" w:name="historische-en-actuele-ringgegevens"/>
    <w:p>
      <w:pPr>
        <w:pStyle w:val="Heading4"/>
      </w:pPr>
      <w:r>
        <w:rPr>
          <w:color w:val="000000"/>
          <w:u w:val="none"/>
        </w:rPr>
        <w:t xml:space="preserve">3.1. Historische en actuele ringgegevens</w:t>
      </w:r>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bookmarkEnd w:id="60"/>
    <w:bookmarkStart w:id="61" w:name="erosiepinnen-in-een-stuifkuilcomplex"/>
    <w:p>
      <w:pPr>
        <w:pStyle w:val="Heading4"/>
      </w:pPr>
      <w:r>
        <w:rPr>
          <w:color w:val="000000"/>
          <w:u w:val="none"/>
        </w:rPr>
        <w:t xml:space="preserve">3.2. Erosiepinnen in een stuifkuilcomplex</w:t>
      </w:r>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bookmarkEnd w:id="61"/>
    <w:bookmarkStart w:id="62" w:name="langjarige-droge-duinvegetatieplots"/>
    <w:p>
      <w:pPr>
        <w:pStyle w:val="Heading4"/>
      </w:pPr>
      <w:r>
        <w:rPr>
          <w:color w:val="000000"/>
          <w:u w:val="none"/>
        </w:rPr>
        <w:t xml:space="preserve">3.3. Langjarige droge-duinvegetatieplots</w:t>
      </w:r>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bookmarkEnd w:id="62"/>
    <w:bookmarkStart w:id="64" w:name="neuropteren-van-meijendel"/>
    <w:p>
      <w:pPr>
        <w:pStyle w:val="Heading4"/>
      </w:pPr>
      <w:r>
        <w:rPr>
          <w:color w:val="000000"/>
          <w:u w:val="none"/>
        </w:rPr>
        <w:t xml:space="preserve">3.4.</w:t>
      </w:r>
      <w:r>
        <w:rPr>
          <w:color w:val="000000"/>
          <w:u w:val="none"/>
        </w:rPr>
        <w:t xml:space="preserve"> </w:t>
      </w:r>
      <w:hyperlink r:id="rId63">
        <w:r>
          <w:rPr>
            <w:rStyle w:val="Hyperlink"/>
          </w:rPr>
          <w:t xml:space="preserve">Neuropteren van Meijendel</w:t>
        </w:r>
      </w:hyperlink>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bookmarkEnd w:id="64"/>
    <w:bookmarkStart w:id="66" w:name="zweefvliegen-van-meijendel"/>
    <w:p>
      <w:pPr>
        <w:pStyle w:val="Heading4"/>
      </w:pPr>
      <w:r>
        <w:rPr>
          <w:color w:val="000000"/>
          <w:u w:val="none"/>
        </w:rPr>
        <w:t xml:space="preserve">3.5.</w:t>
      </w:r>
      <w:r>
        <w:rPr>
          <w:color w:val="000000"/>
          <w:u w:val="none"/>
        </w:rPr>
        <w:t xml:space="preserve"> </w:t>
      </w:r>
      <w:hyperlink r:id="rId65">
        <w:r>
          <w:rPr>
            <w:rStyle w:val="Hyperlink"/>
          </w:rPr>
          <w:t xml:space="preserve">Zweefvliegen van Meijendel</w:t>
        </w:r>
      </w:hyperlink>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bookmarkEnd w:id="66"/>
    <w:bookmarkStart w:id="68" w:name="terra-dunes-plant--en-bodemmicrobiomen"/>
    <w:p>
      <w:pPr>
        <w:pStyle w:val="Heading4"/>
      </w:pPr>
      <w:r>
        <w:rPr>
          <w:color w:val="000000"/>
          <w:u w:val="none"/>
        </w:rPr>
        <w:t xml:space="preserve">3.6. TERRA-Dunes plant- en bodemmicrobiomen</w:t>
      </w:r>
    </w:p>
    <w:p>
      <w:pPr>
        <w:pStyle w:val="FirstParagraph"/>
      </w:pPr>
      <w:r>
        <w:rPr>
          <w:b/>
          <w:bCs/>
        </w:rPr>
        <w:t xml:space="preserve">Eigenaar of uitgever.</w:t>
      </w:r>
      <w:r>
        <w:t xml:space="preserve"> </w:t>
      </w:r>
      <w:r>
        <w:t xml:space="preserve">Onderzoeksteam TERRA-Dunes,</w:t>
      </w:r>
      <w:r>
        <w:t xml:space="preserve"> </w:t>
      </w:r>
      <w:hyperlink r:id="rId67">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bookmarkEnd w:id="68"/>
    <w:bookmarkStart w:id="70" w:name="rups--en-bodemmicrobiomen"/>
    <w:p>
      <w:pPr>
        <w:pStyle w:val="Heading4"/>
      </w:pPr>
      <w:r>
        <w:rPr>
          <w:color w:val="000000"/>
          <w:u w:val="none"/>
        </w:rPr>
        <w:t xml:space="preserve">3.7. Rups- en bodemmicrobiomen</w:t>
      </w:r>
    </w:p>
    <w:p>
      <w:pPr>
        <w:pStyle w:val="FirstParagraph"/>
      </w:pPr>
      <w:r>
        <w:rPr>
          <w:b/>
          <w:bCs/>
        </w:rPr>
        <w:t xml:space="preserve">Eigenaar of uitgever.</w:t>
      </w:r>
      <w:r>
        <w:t xml:space="preserve"> </w:t>
      </w:r>
      <w:r>
        <w:t xml:space="preserve">Onderzoeksteam,</w:t>
      </w:r>
      <w:r>
        <w:t xml:space="preserve"> </w:t>
      </w:r>
      <w:hyperlink r:id="rId69">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bookmarkEnd w:id="70"/>
    <w:bookmarkStart w:id="72" w:name="schimmels-bij-kruipwilg"/>
    <w:p>
      <w:pPr>
        <w:pStyle w:val="Heading4"/>
      </w:pPr>
      <w:r>
        <w:rPr>
          <w:color w:val="000000"/>
          <w:u w:val="none"/>
        </w:rPr>
        <w:t xml:space="preserve">3.8. Schimmels bij kruipwilg</w:t>
      </w:r>
    </w:p>
    <w:p>
      <w:pPr>
        <w:pStyle w:val="FirstParagraph"/>
      </w:pPr>
      <w:r>
        <w:rPr>
          <w:b/>
          <w:bCs/>
        </w:rPr>
        <w:t xml:space="preserve">Eigenaar of uitgever.</w:t>
      </w:r>
      <w:r>
        <w:t xml:space="preserve"> </w:t>
      </w:r>
      <w:r>
        <w:t xml:space="preserve">Onderzoeksteam,</w:t>
      </w:r>
      <w:r>
        <w:t xml:space="preserve"> </w:t>
      </w:r>
      <w:hyperlink r:id="rId71">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bookmarkEnd w:id="72"/>
    <w:bookmarkStart w:id="74" w:name="plantengroei-bodemvocht-en-weer"/>
    <w:p>
      <w:pPr>
        <w:pStyle w:val="Heading4"/>
      </w:pPr>
      <w:r>
        <w:rPr>
          <w:color w:val="000000"/>
          <w:u w:val="none"/>
        </w:rPr>
        <w:t xml:space="preserve">3.9. Plantengroei, bodemvocht en weer</w:t>
      </w:r>
    </w:p>
    <w:p>
      <w:pPr>
        <w:pStyle w:val="FirstParagraph"/>
      </w:pPr>
      <w:r>
        <w:rPr>
          <w:b/>
          <w:bCs/>
        </w:rPr>
        <w:t xml:space="preserve">Eigenaar of uitgever.</w:t>
      </w:r>
      <w:r>
        <w:t xml:space="preserve"> </w:t>
      </w:r>
      <w:r>
        <w:t xml:space="preserve">Wageningen University &amp; Research,</w:t>
      </w:r>
      <w:r>
        <w:t xml:space="preserve"> </w:t>
      </w:r>
      <w:hyperlink r:id="rId73">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bookmarkEnd w:id="74"/>
    <w:bookmarkStart w:id="75" w:name="genetische-datasets-amfibieën"/>
    <w:p>
      <w:pPr>
        <w:pStyle w:val="Heading4"/>
      </w:pPr>
      <w:r>
        <w:rPr>
          <w:color w:val="000000"/>
          <w:u w:val="none"/>
        </w:rPr>
        <w:t xml:space="preserve">3.10. Genetische datasets amfibieën</w:t>
      </w:r>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bookmarkEnd w:id="75"/>
    <w:bookmarkEnd w:id="76"/>
    <w:bookmarkStart w:id="78" w:name="X8c2748f02893018608c8a38a1054acf3030739d"/>
    <w:p>
      <w:pPr>
        <w:pStyle w:val="Heading3"/>
      </w:pPr>
      <w:r>
        <w:rPr>
          <w:color w:val="000000"/>
          <w:u w:val="none"/>
        </w:rPr>
        <w:t xml:space="preserve">3.11. Alleen context of nog een onderzoeksaanwijzing</w:t>
      </w:r>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77">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bookmarkEnd w:id="78"/>
    <w:bookmarkEnd w:id="79"/>
    <w:bookmarkStart w:id="80" w:name="verwachte-aanvullingen"/>
    <w:p>
      <w:pPr>
        <w:pStyle w:val="Heading2"/>
      </w:pPr>
      <w:r>
        <w:rPr>
          <w:color w:val="000000"/>
          <w:u w:val="none"/>
        </w:rPr>
        <w:t xml:space="preserve">4. Verwachte aanvullingen</w:t>
      </w:r>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bookmarkEnd w:id="80"/>
    <w:bookmarkStart w:id="81" w:name="Xbd1d36805349ef5ec39b6efd044fd20b47e23f4"/>
    <w:p>
      <w:pPr>
        <w:pStyle w:val="Heading2"/>
      </w:pPr>
      <w:r>
        <w:rPr>
          <w:color w:val="000000"/>
          <w:u w:val="none"/>
        </w:rPr>
        <w:t xml:space="preserve">5. Bronnen die niet verder worden uitgewerkt</w:t>
      </w:r>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bookmarkEnd w:id="81"/>
    <w:bookmarkStart w:id="82" w:name="gebruik-van-dit-register"/>
    <w:p>
      <w:pPr>
        <w:pStyle w:val="Heading2"/>
      </w:pPr>
      <w:r>
        <w:rPr>
          <w:color w:val="000000"/>
          <w:u w:val="none"/>
        </w:rPr>
        <w:t xml:space="preserve">6. Gebruik van dit register</w:t>
      </w:r>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bookmarkEnd w:id="82"/>
    <w:bookmarkStart w:id="88" w:name="actieplan"/>
    <w:p>
      <w:pPr>
        <w:pStyle w:val="Heading2"/>
      </w:pPr>
      <w:r>
        <w:rPr>
          <w:color w:val="000000"/>
          <w:u w:val="none"/>
        </w:rPr>
        <w:t xml:space="preserve">7. Actieplan</w:t>
      </w:r>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bookmarkStart w:id="83" w:name="fase-1-openbare-direct-toetsbare-bronnen"/>
    <w:p>
      <w:pPr>
        <w:pStyle w:val="Heading3"/>
      </w:pPr>
      <w:r>
        <w:rPr>
          <w:color w:val="000000"/>
          <w:u w:val="none"/>
        </w:rPr>
        <w:t xml:space="preserve">Fase 1 — openbare, direct toetsbare bronnen</w:t>
      </w:r>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bookmarkEnd w:id="83"/>
    <w:bookmarkStart w:id="84" w:name="X1e65d730f223a62ff579853fd3c77c9308748df"/>
    <w:p>
      <w:pPr>
        <w:pStyle w:val="Heading3"/>
      </w:pPr>
      <w:r>
        <w:rPr>
          <w:color w:val="000000"/>
          <w:u w:val="none"/>
        </w:rPr>
        <w:t xml:space="preserve">Fase 2 — reeksen met grote historische of trendwaarde</w:t>
      </w:r>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bookmarkEnd w:id="84"/>
    <w:bookmarkStart w:id="85" w:name="X6b9d0c88ffcb5584e67daa74c9524b522af67c0"/>
    <w:p>
      <w:pPr>
        <w:pStyle w:val="Heading3"/>
      </w:pPr>
      <w:r>
        <w:rPr>
          <w:color w:val="000000"/>
          <w:u w:val="none"/>
        </w:rPr>
        <w:t xml:space="preserve">Fase 3 — reeds bekende bronhouders en contextdatasets</w:t>
      </w:r>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bookmarkEnd w:id="85"/>
    <w:bookmarkStart w:id="86" w:name="vaste-werkwijze-per-bron"/>
    <w:p>
      <w:pPr>
        <w:pStyle w:val="Heading3"/>
      </w:pPr>
      <w:r>
        <w:rPr>
          <w:color w:val="000000"/>
          <w:u w:val="none"/>
        </w:rPr>
        <w:t xml:space="preserve">Vaste werkwijze per bron</w:t>
      </w:r>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bookmarkEnd w:id="86"/>
    <w:bookmarkStart w:id="87" w:name="dekking-van-de-internetcontrole"/>
    <w:p>
      <w:pPr>
        <w:pStyle w:val="Heading3"/>
      </w:pPr>
      <w:r>
        <w:rPr>
          <w:color w:val="000000"/>
          <w:u w:val="none"/>
        </w:rPr>
        <w:t xml:space="preserve">Dekking van de internetcontrole</w:t>
      </w:r>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bookmarkEnd w:id="87"/>
    <w:bookmarkEnd w:id="88"/>
    <w:bookmarkStart w:id="96" w:name="achterliggende-verantwoording"/>
    <w:p>
      <w:pPr>
        <w:pStyle w:val="Heading2"/>
      </w:pPr>
      <w:r>
        <w:rPr>
          <w:color w:val="000000"/>
          <w:u w:val="none"/>
        </w:rPr>
        <w:t xml:space="preserve">Achterliggende verantwoording</w:t>
      </w:r>
    </w:p>
    <w:p>
      <w:pPr>
        <w:pStyle w:val="Compact"/>
        <w:numPr>
          <w:ilvl w:val="0"/>
          <w:numId w:val="1005"/>
        </w:numPr>
      </w:pPr>
      <w:hyperlink r:id="rId89">
        <w:r>
          <w:rPr>
            <w:rStyle w:val="Hyperlink"/>
          </w:rPr>
          <w:t xml:space="preserve">NDFF-staging en bronvergelijking</w:t>
        </w:r>
      </w:hyperlink>
    </w:p>
    <w:p>
      <w:pPr>
        <w:pStyle w:val="Compact"/>
        <w:numPr>
          <w:ilvl w:val="0"/>
          <w:numId w:val="1005"/>
        </w:numPr>
      </w:pPr>
      <w:hyperlink r:id="rId90">
        <w:r>
          <w:rPr>
            <w:rStyle w:val="Hyperlink"/>
          </w:rPr>
          <w:t xml:space="preserve">NDFF-protocolaudit</w:t>
        </w:r>
      </w:hyperlink>
    </w:p>
    <w:p>
      <w:pPr>
        <w:pStyle w:val="Compact"/>
        <w:numPr>
          <w:ilvl w:val="0"/>
          <w:numId w:val="1005"/>
        </w:numPr>
      </w:pPr>
      <w:hyperlink r:id="rId91">
        <w:r>
          <w:rPr>
            <w:rStyle w:val="Hyperlink"/>
          </w:rPr>
          <w:t xml:space="preserve">Scheiding tussen Meijendel en Meijendel_bronnen</w:t>
        </w:r>
      </w:hyperlink>
    </w:p>
    <w:p>
      <w:pPr>
        <w:pStyle w:val="Compact"/>
        <w:numPr>
          <w:ilvl w:val="0"/>
          <w:numId w:val="1005"/>
        </w:numPr>
      </w:pPr>
      <w:hyperlink r:id="rId92">
        <w:r>
          <w:rPr>
            <w:rStyle w:val="Hyperlink"/>
          </w:rPr>
          <w:t xml:space="preserve">Ruimtelijke audit van contextbronnen</w:t>
        </w:r>
      </w:hyperlink>
    </w:p>
    <w:p>
      <w:pPr>
        <w:pStyle w:val="Compact"/>
        <w:numPr>
          <w:ilvl w:val="0"/>
          <w:numId w:val="1005"/>
        </w:numPr>
      </w:pPr>
      <w:hyperlink r:id="rId93">
        <w:r>
          <w:rPr>
            <w:rStyle w:val="Hyperlink"/>
          </w:rPr>
          <w:t xml:space="preserve">Importbesluit duinvalleivegetatie</w:t>
        </w:r>
      </w:hyperlink>
    </w:p>
    <w:p>
      <w:pPr>
        <w:pStyle w:val="Compact"/>
        <w:numPr>
          <w:ilvl w:val="0"/>
          <w:numId w:val="1005"/>
        </w:numPr>
      </w:pPr>
      <w:hyperlink r:id="rId94">
        <w:r>
          <w:rPr>
            <w:rStyle w:val="Hyperlink"/>
          </w:rPr>
          <w:t xml:space="preserve">Ruimtelijke bronlagen en toelatingsregels</w:t>
        </w:r>
      </w:hyperlink>
    </w:p>
    <w:p>
      <w:pPr>
        <w:pStyle w:val="Compact"/>
        <w:numPr>
          <w:ilvl w:val="0"/>
          <w:numId w:val="1005"/>
        </w:numPr>
      </w:pPr>
      <w:hyperlink r:id="rId95">
        <w:r>
          <w:rPr>
            <w:rStyle w:val="Hyperlink"/>
          </w:rPr>
          <w:t xml:space="preserve">Beveiligde NDFF-ontvangst</w:t>
        </w:r>
      </w:hyperlink>
    </w:p>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gis/audit/externe_ecologie_fase1_2_manifest.json" TargetMode="External"/><Relationship Id="rId91" Type="http://schemas.openxmlformats.org/officeDocument/2006/relationships/hyperlink" Target="bronnen/MEIJENDEL_BRONNEN.md" TargetMode="External"/><Relationship Id="rId92" Type="http://schemas.openxmlformats.org/officeDocument/2006/relationships/hyperlink" Target="bronnen/audits/MEIJENDEL_BRONNEN_AUDIT.md" TargetMode="External"/><Relationship Id="rId90" Type="http://schemas.openxmlformats.org/officeDocument/2006/relationships/hyperlink" Target="bronnen/audits/NDFF_PROTOCOLAUDIT.md" TargetMode="External"/><Relationship Id="rId89" Type="http://schemas.openxmlformats.org/officeDocument/2006/relationships/hyperlink" Target="bronnen/bronvergelijkingen/NDFF_STAGINGDATASET.md" TargetMode="External"/><Relationship Id="rId93" Type="http://schemas.openxmlformats.org/officeDocument/2006/relationships/hyperlink" Target="bronnen/importbesluiten/DUINVALLEI_VEGETATIE.md" TargetMode="External"/><Relationship Id="rId94" Type="http://schemas.openxmlformats.org/officeDocument/2006/relationships/hyperlink" Target="bronnen/importbesluiten/MEIJENDEL_RUIMTELIJKE_LAGEN.md" TargetMode="External"/><Relationship Id="rId95" Type="http://schemas.openxmlformats.org/officeDocument/2006/relationships/hyperlink" Target="bronnen/importbesluiten/NDFF_SECURE_ONTVANGST.md" TargetMode="External"/><Relationship Id="rId36" Type="http://schemas.openxmlformats.org/officeDocument/2006/relationships/hyperlink" Target="database/TAXONREGISTER.md" TargetMode="External"/><Relationship Id="rId77" Type="http://schemas.openxmlformats.org/officeDocument/2006/relationships/hyperlink" Target="https://doi.org/10.1007/s10531-025-03175-x" TargetMode="External"/><Relationship Id="rId71"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3" Type="http://schemas.openxmlformats.org/officeDocument/2006/relationships/hyperlink" Target="https://doi.org/10.17026/DANS-28X-UT8Q" TargetMode="External"/><Relationship Id="rId69" Type="http://schemas.openxmlformats.org/officeDocument/2006/relationships/hyperlink" Target="https://doi.org/10.5061/dryad.8cz8w9gnc" TargetMode="External"/><Relationship Id="rId52" Type="http://schemas.openxmlformats.org/officeDocument/2006/relationships/hyperlink" Target="https://doi.org/10.5281/zenodo.21796880" TargetMode="External"/><Relationship Id="rId67" Type="http://schemas.openxmlformats.org/officeDocument/2006/relationships/hyperlink" Target="https://doi.org/10.6084/m9.figshare.25425601.v1" TargetMode="External"/><Relationship Id="rId65" Type="http://schemas.openxmlformats.org/officeDocument/2006/relationships/hyperlink" Target="https://repository.naturalis.nl/pub/317221" TargetMode="External"/><Relationship Id="rId63" Type="http://schemas.openxmlformats.org/officeDocument/2006/relationships/hyperlink" Target="https://repository.naturalis.nl/pub/317242"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gis/audit/externe_ecologie_fase1_2_manifest.json" TargetMode="External"/><Relationship Id="rId91" Type="http://schemas.openxmlformats.org/officeDocument/2006/relationships/hyperlink" Target="bronnen/MEIJENDEL_BRONNEN.md" TargetMode="External"/><Relationship Id="rId92" Type="http://schemas.openxmlformats.org/officeDocument/2006/relationships/hyperlink" Target="bronnen/audits/MEIJENDEL_BRONNEN_AUDIT.md" TargetMode="External"/><Relationship Id="rId90" Type="http://schemas.openxmlformats.org/officeDocument/2006/relationships/hyperlink" Target="bronnen/audits/NDFF_PROTOCOLAUDIT.md" TargetMode="External"/><Relationship Id="rId89" Type="http://schemas.openxmlformats.org/officeDocument/2006/relationships/hyperlink" Target="bronnen/bronvergelijkingen/NDFF_STAGINGDATASET.md" TargetMode="External"/><Relationship Id="rId93" Type="http://schemas.openxmlformats.org/officeDocument/2006/relationships/hyperlink" Target="bronnen/importbesluiten/DUINVALLEI_VEGETATIE.md" TargetMode="External"/><Relationship Id="rId94" Type="http://schemas.openxmlformats.org/officeDocument/2006/relationships/hyperlink" Target="bronnen/importbesluiten/MEIJENDEL_RUIMTELIJKE_LAGEN.md" TargetMode="External"/><Relationship Id="rId95" Type="http://schemas.openxmlformats.org/officeDocument/2006/relationships/hyperlink" Target="bronnen/importbesluiten/NDFF_SECURE_ONTVANGST.md" TargetMode="External"/><Relationship Id="rId36" Type="http://schemas.openxmlformats.org/officeDocument/2006/relationships/hyperlink" Target="database/TAXONREGISTER.md" TargetMode="External"/><Relationship Id="rId77" Type="http://schemas.openxmlformats.org/officeDocument/2006/relationships/hyperlink" Target="https://doi.org/10.1007/s10531-025-03175-x" TargetMode="External"/><Relationship Id="rId71"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3" Type="http://schemas.openxmlformats.org/officeDocument/2006/relationships/hyperlink" Target="https://doi.org/10.17026/DANS-28X-UT8Q" TargetMode="External"/><Relationship Id="rId69" Type="http://schemas.openxmlformats.org/officeDocument/2006/relationships/hyperlink" Target="https://doi.org/10.5061/dryad.8cz8w9gnc" TargetMode="External"/><Relationship Id="rId52" Type="http://schemas.openxmlformats.org/officeDocument/2006/relationships/hyperlink" Target="https://doi.org/10.5281/zenodo.21796880" TargetMode="External"/><Relationship Id="rId67" Type="http://schemas.openxmlformats.org/officeDocument/2006/relationships/hyperlink" Target="https://doi.org/10.6084/m9.figshare.25425601.v1" TargetMode="External"/><Relationship Id="rId65" Type="http://schemas.openxmlformats.org/officeDocument/2006/relationships/hyperlink" Target="https://repository.naturalis.nl/pub/317221" TargetMode="External"/><Relationship Id="rId63" Type="http://schemas.openxmlformats.org/officeDocument/2006/relationships/hyperlink" Target="https://repository.naturalis.nl/pub/3172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2026-09-29T17:21:39Z</dcterms:created>
  <dcterms:modified xsi:type="dcterms:W3CDTF">2026-09-29T17:21:39Z</dcterms:modified>
</cp:coreProperties>
</file>

<file path=docProps/custom.xml><?xml version="1.0" encoding="utf-8"?>
<Properties xmlns="http://schemas.openxmlformats.org/officeDocument/2006/custom-properties" xmlns:vt="http://schemas.openxmlformats.org/officeDocument/2006/docPropsVTypes"/>
</file>