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FirstParagraph"/>
      </w:pPr>
      <w:r>
        <w:rPr>
          <w:b/>
          <w:bCs/>
        </w:rPr>
        <w:t xml:space="preserve">Stand: 7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7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De oorspronkelijke NDFF-waarnemingen, bronvermelding en reconstructieversies blijven behouden. Alle tabelcontrolesommen zijn na de hernoeming gelijk aan de nulmeting en alle 18 foreign keys bleven intact; de centrale taxoncontrole geeft 128 werkende routes en nul fouten. De zware SQL-export en VPS-publicatie zijn nog niet uitgevoerd.</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