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16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rsidR="00000000">
      <w:pPr>
        <w:pStyle w:val="BodyText"/>
      </w:pPr>
      <w:r>
        <w:t>Op 16 oktober 2026 is daarnaast de volledige Zotero-reeks met titels beginnend met Vogelpopulatieonderzoek Meijendel en Vogelwerkgroep Meijendel opnieuw en afzonderlijk beoordeeld op werkzaamheden en andere beheermaatregelen. De selectie bevat 44 bibliografische hoofditems. Veertien unieke samengestelde of afzonderlijke PDF-containers met samen 716 pagina’s en verslagjaren 1958–2001 zijn inhoudelijk doorzocht; losse tellijsten en overlappende rapportkopieën zijn niet als zelfstandige bewijsbron geteld. De controle leverde 22 nieuwe uitgevoerde kandidaten, één expliciet niet-uitgevoerde padaanleg en vier aanvullingen op bestaande uitvoeringen. Zij staan met bron, jaarstatus, activiteit en uitsluitend bronvaste of eerder vastgestelde kavelrelaties in Werkzaamheden en maatregelen uit broedvogeljaarverslagen. De genormaliseerde tijdelijke beoordelingstabellen staan in gis/database/maatregelen_jaarverslagen_broedvogels_kandidaten.sql. De levende database is niet gewijzigd; maatregel_bron blijft daarom 44 regels bevatten, waarvan 43 inhoudelijke bronnen en één administratieve migratiebron.</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t>Omvang en periode. De levende lokale database bevat 18 projecten, 44 bronnen, 64 uitvoeringen, 104 expliciete jaarbeoordelingen uit 1967–2026 en 99 bronkoppelingen. Van de 44 bronnen zijn er 43 inhoudelijk en één administratief. Van de jaarbeoordelingen zijn er 88 uitgevoerd, 9 niet_uitgevoerd en 7 onbekend.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 De 23 nieuwe jaarverslagkandidaten en vier voorgestelde aanvullingen zijn nog niet in deze aantallen verwerkt.</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t>Gebruik en grens. 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t>Status. 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 niet_uitgevoerd zijn en de view alleen uitgevoerde jaren opneemt. maatregel_plot_koppeling 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w:t>
      </w:r>
      <w:r>
        <w:t xml:space="preserve"> </w:t>
      </w:r>
      <w:r>
        <w:rPr>
          <w:rStyle w:val="VerbatimChar"/>
        </w:rPr>
        <w:t xml:space="preserve">maatregel_geometrie</w:t>
      </w:r>
      <w:r>
        <w:t xml:space="preserve"> </w:t>
      </w:r>
      <w:r>
        <w:t xml:space="preserve">leeg.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FirstParagraph"/>
      </w:pPr>
      <w:r>
        <w:t>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FirstParagraph"/>
      </w:pPr>
      <w:r>
        <w:t>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 https://edepot.wur.nl/393293.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FirstParagraph"/>
      </w:pPr>
      <w:r>
        <w:t>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FirstParagraph"/>
      </w:pPr>
      <w:r>
        <w:t>Vervolgkaartonderzoek, 16 oktober 2026, versie 2. De verbeterlevering meijendel_databasekwaliteit_2026-10-16_v2 bevat dezelfde 136 bestaande object-ID’s en 23 aanvullende bewijsregels. De volledige oorspronkelijke Neefjes-publicatie is nu verkregen via de actuele download https://pas.ecologischeautoriteit.nl/files/ea/5004/011152-5004-cultuursporen-in-het-duin.pdf: 76 PDF-pagina’s, met de drie kaartbijlagen op pagina’s 74–76. De kopie op Duinen en Mensen telt 73 pagina’s en mist die bijlagen. De oorspronkelijke vegetatiekaarten uit 1955 zijn beschikbaar in het proefschrift van Boerboom uit 1960 (https://edepot.wur.nl/183358,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FirstParagraph"/>
      </w:pPr>
      <w:r>
        <w:t>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FirstParagraph"/>
      </w:pPr>
      <w:r>
        <w:t>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FirstParagraph"/>
      </w:pPr>
      <w:r>
        <w:t>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FirstParagraph"/>
      </w:pPr>
      <w:r>
        <w:t>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FirstParagraph"/>
      </w:pPr>
      <w:r>
        <w:t>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p>
      <w:pPr>
        <w:pStyle w:val="Heading2"/>
      </w:pPr>
      <w:r>
        <w:t>Rechtstreekse aansluiting zonder compatibiliteitsviews</w:t>
      </w:r>
    </w:p>
    <w:p>
      <w:r>
        <w:t>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r>
        <w:t>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r>
        <w:t>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r>
        <w:t>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r>
        <w:t>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