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dea145a7474320bcc321aebaf5687f9ab4d02fb"/>
    <w:p>
      <w:pPr>
        <w:pStyle w:val="Heading1"/>
      </w:pPr>
      <w:r>
        <w:t xml:space="preserve">Bronregister ecologische gegevens Meijendel</w:t>
      </w:r>
    </w:p>
    <w:p>
      <w:pPr>
        <w:pStyle w:val="BodyText"/>
      </w:pPr>
      <w:r>
        <w:rPr>
          <w:b/>
        </w:rPr>
        <w:t>Stand: 28 september 2026.</w:t>
      </w:r>
      <w:r>
        <w:t xml:space="preserve"> </w:t>
      </w:r>
    </w:p>
    <w:p>
      <w:pPr>
        <w:pStyle w:val="BodyText"/>
      </w:pPr>
      <w:r>
        <w:t xml:space="preserve">Dit register bevat informatie over:</w:t>
      </w:r>
    </w:p>
    <w:p>
      <w:pPr>
        <w:numPr>
          <w:ilvl w:val="0"/>
          <w:numId w:val="1001"/>
        </w:numPr>
      </w:pPr>
      <w:r>
        <w:t xml:space="preserve">ecologische gegevens van Meijendel;</w:t>
      </w:r>
    </w:p>
    <w:p>
      <w:pPr>
        <w:numPr>
          <w:ilvl w:val="0"/>
          <w:numId w:val="1001"/>
        </w:numPr>
      </w:pPr>
      <w:r>
        <w:t xml:space="preserve">waar die gegevens staan in GitHub;</w:t>
      </w:r>
    </w:p>
    <w:p>
      <w:pPr>
        <w:numPr>
          <w:ilvl w:val="0"/>
          <w:numId w:val="1001"/>
        </w:numPr>
      </w:pPr>
      <w:r>
        <w:t xml:space="preserve">wie de oorspronkelijke bron beheert; en</w:t>
      </w:r>
    </w:p>
    <w:p>
      <w:pPr>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bookmarkStart w:id="9" w:name="de-statussen"/>
    <w:p>
      <w:pPr>
        <w:pStyle w:val="Heading2"/>
      </w:pPr>
      <w:r>
        <w:t xml:space="preserve">De statussen</w:t>
      </w:r>
    </w:p>
    <w:p>
      <w:pPr>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numPr>
          <w:ilvl w:val="0"/>
          <w:numId w:val="1002"/>
        </w:numPr>
      </w:pPr>
      <w:r>
        <w:rPr>
          <w:b/>
          <w:bCs/>
        </w:rPr>
        <w:t xml:space="preserve">Voorwaardelijk bruikbaar</w:t>
      </w:r>
      <w:r>
        <w:t xml:space="preserve">: positieve waarnemingen zijn bruikbaar, maar voor trends ontbreekt nog een deel van de oorspronkelijke meetstructuur.</w:t>
      </w:r>
    </w:p>
    <w:p>
      <w:pPr>
        <w:numPr>
          <w:ilvl w:val="0"/>
          <w:numId w:val="1002"/>
        </w:numPr>
      </w:pPr>
      <w:r>
        <w:rPr>
          <w:b/>
          <w:bCs/>
        </w:rPr>
        <w:t xml:space="preserve">Context</w:t>
      </w:r>
      <w:r>
        <w:t xml:space="preserve">: de bron is inhoudelijk relevant, maar mag niet in de gewone Meijendel-analyses worden gebruikt omdat de locatie per waarneming ontbreekt.</w:t>
      </w:r>
    </w:p>
    <w:p>
      <w:pPr>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numPr>
          <w:ilvl w:val="0"/>
          <w:numId w:val="1003"/>
        </w:numPr>
      </w:pPr>
      <w:r>
        <w:t xml:space="preserve">de vogelreeks, provinciale PQ-reeks, bevestigde SOVON-zoogdierbezoeken en historische vangblikreeks zijn nu de sterkste statistische bronnen;</w:t>
      </w:r>
    </w:p>
    <w:p>
      <w:pPr>
        <w:numPr>
          <w:ilvl w:val="0"/>
          <w:numId w:val="1003"/>
        </w:numPr>
      </w:pPr>
      <w:r>
        <w:t xml:space="preserve">de NDFF-laag is omvangrijk, maar ondersteunt zonder aanvullende meetstructuur vooral verspreidingsonderzoek;</w:t>
      </w:r>
    </w:p>
    <w:p>
      <w:pPr>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bookmarkEnd w:id="9"/>
    <w:bookmarkStart w:id="10" w:name="overkoepelende-analysegeschiktheid"/>
    <w:p>
      <w:pPr/>
      <w:r>
        <w:t>Taxonomisch register aangevuld, 27 september 2026 om 21:53 uur. De levende lokale database bevat nu 27 praktische groepen en 15.580 naamgebruiken en referenties. Daarvan zijn 14.663 registraties aan hun oorspronkelijke bron gebonden; 917 zijn gedeelde externe naamreferenties. De 18.437 bronbesluiten omvatten 18.350 actieve besluiten en 87 bewaarde eerdere versies.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r>
        <w:t>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r>
        <w:t>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r>
        <w:t>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r>
        <w:t>Er blijven 278 beoordeelde registraties zonder primaire groep. Bij 116 ontbreekt de onderbouwing voor de scheiding schimmels/korstmossen; bij 53 bevat een alternatieve naamtreffer onvolledige of afwijkende groepsinformatie; bij 50 ontbreekt een exacte referentienaam; bij 39 is de vertaling naar de lokale groepen niet eenduidig. Verder gaat het om acht verzamel- of onvolledig gedetermineerde begrippen, vijf slijmzwammen die niet bij de huidige groepsomschrijving passen, vier afwijkende naamnotaties en drie niet verder ingedeelde vlinderregistraties. Deze gegevens blijven bewaard. Een nauwkeuriger indeling vereist gerichte onderbouwing; een geforceerde keuze zou het register minder betrouwbaar maken.</w:t>
      </w:r>
    </w:p>
    <w:p>
      <w:pPr/>
      <w:r>
        <w:t>Twee actieve bronvermeldingen blijven zonder doeltaxon: Naturalis-Indet. benoemt geen taxon; bij Toendrarietgans ontbreekt de wetenschappelijke bronnaam en strookt lokale code 1582 niet met de actuele EURING-code 01574. De 263 oorspronkelijke vogelnaamgebruiken en hun koppelingen zijn ongewijzigd. Alle 249 overige tabellen en bijbehorende databaseobjecten zijn vóór en na de aanvulling identiek. Website, dashboard en Shiny zijn niet aangepast. De veilige registeraanvulling is uitgevoerd en gecontroleerd met een terugdraaiproef en nacontrole. Details en herstelbewijs staan in docs/database/TAXONREGISTER.md.</w:t>
      </w:r>
    </w:p>
    <w:p>
      <w:pPr>
        <w:pStyle w:val="Heading2"/>
      </w:pPr>
      <w:r>
        <w:t xml:space="preserve">Overkoepelende analysegeschiktheid</w:t>
      </w:r>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bookmarkEnd w:id="10"/>
    <w:bookmarkStart w:id="11" w:name="beheerregel"/>
    <w:p>
      <w:pPr>
        <w:pStyle w:val="Heading2"/>
      </w:pPr>
      <w:r>
        <w:t xml:space="preserve">Beheerregel</w:t>
      </w:r>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De Markdown-versie is leidend; de Wordversie wordt in dezelfde wijziging inhoudelijk gelijkgetrokken, gerenderd en gecontroleerd.</w:t>
      </w:r>
    </w:p>
    <w:bookmarkEnd w:id="11"/>
    <w:bookmarkStart w:id="50" w:name="Xc07dfd40f027bce65d2d0499dc5da8ab7f6fd0f"/>
    <w:p>
      <w:pPr>
        <w:pStyle w:val="Heading2"/>
      </w:pPr>
      <w:r>
        <w:t xml:space="preserve">1. Bronnen in MySQL-database</w:t>
      </w:r>
      <w:r>
        <w:t xml:space="preserve"> </w:t>
      </w:r>
      <w:r>
        <w:rPr>
          <w:rStyle w:val="VerbatimChar"/>
        </w:rPr>
        <w:t xml:space="preserve">Meijendel</w:t>
      </w:r>
    </w:p>
    <w:bookmarkStart w:id="12" w:name="X32ab8fbd5be08d3f325e2553cd15813ff7e9c1f"/>
    <w:p>
      <w:pPr>
        <w:pStyle w:val="Heading3"/>
      </w:pPr>
      <w:r>
        <w:t xml:space="preserve">1.1. Vogelgegevens van Vogelwerkgroep Meijendel en SOVON</w:t>
      </w:r>
    </w:p>
    <w:p>
      <w:pPr>
        <w:pStyle w:val="FirstParagraph"/>
      </w:pPr>
      <w:r>
        <w:rPr>
          <w:b/>
          <w:bCs/>
        </w:rPr>
        <w:t xml:space="preserve">Omvang en periode.</w:t>
      </w:r>
      <w:r>
        <w:t xml:space="preserve"> </w:t>
      </w:r>
      <w:r>
        <w:t xml:space="preserve">De database bevat 1.063.936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bookmarkEnd w:id="12"/>
    <w:bookmarkStart w:id="13" w:name="X9645acbfea6b379f23d12aeedc36c987000825a"/>
    <w:p>
      <w:pPr>
        <w:pStyle w:val="BodyText"/>
      </w:pPr>
      <w:r>
        <w:rPr>
          <w:b/>
        </w:rPr>
        <w:t xml:space="preserve">Taxonomische ontsluiting, 27 september 2026. </w:t>
      </w:r>
      <w:r>
        <w:t>De 263 gebruikte vogelcategorieën uit soorten hebben ieder een voorlopig naamgebruik in taxa en een kandidaat in taxa_bronkoppeling.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Heading3"/>
      </w:pPr>
      <w:r>
        <w:t xml:space="preserve">1.2. Provinciale permanente kwadraten</w:t>
      </w:r>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bookmarkEnd w:id="13"/>
    <w:bookmarkStart w:id="14" w:name="X58edaa7a0159e378417d8d9e2f3abf27d746f4f"/>
    <w:p>
      <w:pPr>
        <w:pStyle w:val="BodyText"/>
      </w:pPr>
      <w:r>
        <w:rPr>
          <w:b/>
        </w:rPr>
        <w:t>PQ-integratie, 27–28 september 2026.</w:t>
      </w:r>
      <w:r>
        <w:t xml:space="preserve"> 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Heading3"/>
      </w:pPr>
      <w:r>
        <w:t xml:space="preserve">1.3. Zoogdieren tijdens SOVON- en VWG-bezoeken</w:t>
      </w:r>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bookmarkEnd w:id="14"/>
    <w:bookmarkStart w:id="16" w:name="Xd3fb9a25da94fa35cd3895c324ae264efa6b6ce"/>
    <w:p>
      <w:pPr>
        <w:pStyle w:val="Heading3"/>
      </w:pPr>
      <w:r>
        <w:t xml:space="preserve">1.4. Historisch vangblikonderzoek</w:t>
      </w:r>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5">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bookmarkEnd w:id="16"/>
    <w:bookmarkStart w:id="34" w:name="X05a7f9ed9696b113895f0c60145ad70b98b3ccf"/>
    <w:p>
      <w:pPr>
        <w:pStyle w:val="BodyText"/>
      </w:pPr>
      <w:r>
        <w:rPr>
          <w:b/>
        </w:rPr>
        <w:t>Vangblik-opschoning, 28 september 2026.</w:t>
      </w:r>
      <w:r>
        <w:t xml:space="preserve"> De 60.560 vangstregels uit 1953–1960 zijn lokaal rechtstreeks verbonden met het centrale taxonregister. De 275 oorspronkelijke taxonvermeldingen zijn daar met alle bronvelden behouden; de afzonderlijke tabel vangblik_soorten 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r>
        <w:t xml:space="preserve">1.5. NDFF: één canonieke laag van openbare en beveiligde gegevens</w:t>
      </w:r>
    </w:p>
    <w:p>
      <w:pPr>
        <w:pStyle w:val="FirstParagraph"/>
      </w:pPr>
      <w:r>
        <w:rPr>
          <w:b/>
          <w:bCs/>
        </w:rPr>
        <w:t xml:space="preserve">Omvang en periode.</w:t>
      </w:r>
      <w:r>
        <w:t xml:space="preserve"> </w:t>
      </w:r>
      <w:r>
        <w:t xml:space="preserve">De levering bevat 810.830 unieke niet-vogelrecords uit 1950–2025.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bookmarkStart w:id="17" w:name="Xf2f5e1637d9b0d825d88db49318fbe09fe4562d"/>
    <w:p>
      <w:pPr>
        <w:pStyle w:val="Heading4"/>
      </w:pPr>
      <w:r>
        <w:t xml:space="preserve">1.5.1. Dagvlinders</w:t>
      </w:r>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bookmarkEnd w:id="17"/>
    <w:bookmarkStart w:id="18" w:name="Xab588a339567fbeba82f7ca9f0ef20022ceaf38"/>
    <w:p>
      <w:pPr>
        <w:pStyle w:val="Heading4"/>
      </w:pPr>
      <w:r>
        <w:t xml:space="preserve">1.5.2. Hommels</w:t>
      </w:r>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bookmarkEnd w:id="18"/>
    <w:bookmarkStart w:id="19" w:name="X5eeebc0b3ea39369efcb9361b685b51ab379390"/>
    <w:p>
      <w:pPr>
        <w:pStyle w:val="Heading4"/>
      </w:pPr>
      <w:r>
        <w:t xml:space="preserve">1.5.3. Libellen</w:t>
      </w:r>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bookmarkEnd w:id="19"/>
    <w:bookmarkStart w:id="20" w:name="Xf7f75bff85528639d3a54437d815ffc982ac078"/>
    <w:p>
      <w:pPr>
        <w:pStyle w:val="Heading4"/>
      </w:pPr>
      <w:r>
        <w:t xml:space="preserve">1.5.4. Nachtvlinders</w:t>
      </w:r>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bookmarkEnd w:id="20"/>
    <w:bookmarkStart w:id="21" w:name="X5952ec78f96e716985cfd2bef0c6dea751da098"/>
    <w:p>
      <w:pPr>
        <w:pStyle w:val="Heading4"/>
      </w:pPr>
      <w:r>
        <w:t xml:space="preserve">1.5.5. Amfibieën</w:t>
      </w:r>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bookmarkEnd w:id="21"/>
    <w:bookmarkStart w:id="22" w:name="Xf98973ac0b4b22a8147264cf6fda7ae2d1f2584"/>
    <w:p>
      <w:pPr>
        <w:pStyle w:val="Heading4"/>
      </w:pPr>
      <w:r>
        <w:t xml:space="preserve">1.5.6. Reptielen</w:t>
      </w:r>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bookmarkEnd w:id="22"/>
    <w:bookmarkStart w:id="23" w:name="X9ffbbed58a474302bc88f9b6483937563542adc"/>
    <w:p>
      <w:pPr>
        <w:pStyle w:val="Heading4"/>
      </w:pPr>
      <w:r>
        <w:t xml:space="preserve">1.5.7. Vissen</w:t>
      </w:r>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bookmarkEnd w:id="23"/>
    <w:bookmarkStart w:id="24" w:name="X90b1412457ba2ad39675de54e16fb4052a9af96"/>
    <w:p>
      <w:pPr>
        <w:pStyle w:val="Heading4"/>
      </w:pPr>
      <w:r>
        <w:t xml:space="preserve">1.5.8. Vleermuistransecten</w:t>
      </w:r>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bookmarkEnd w:id="24"/>
    <w:bookmarkStart w:id="25" w:name="X0bf7c6d2026ffa63b6182a76ed7ab201ef2ca1a"/>
    <w:p>
      <w:pPr>
        <w:pStyle w:val="Heading4"/>
      </w:pPr>
      <w:r>
        <w:t xml:space="preserve">1.5.9. Konijnentellingen in de duinen</w:t>
      </w:r>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bookmarkEnd w:id="25"/>
    <w:bookmarkStart w:id="26" w:name="Xd64910a2091f56dedd2aaa5a75994d38ec4c969"/>
    <w:p>
      <w:pPr>
        <w:pStyle w:val="Heading4"/>
      </w:pPr>
      <w:r>
        <w:t xml:space="preserve">1.5.10. Wintertellingen vleermuizen</w:t>
      </w:r>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bookmarkEnd w:id="26"/>
    <w:bookmarkStart w:id="27" w:name="X9cec44656db08bd57f600992eaa74a526d260b3"/>
    <w:p>
      <w:pPr>
        <w:pStyle w:val="Heading4"/>
      </w:pPr>
      <w:r>
        <w:t xml:space="preserve">1.5.11. Het Nieuwe Strepen</w:t>
      </w:r>
    </w:p>
    <w:p>
      <w:pPr>
        <w:pStyle w:val="FirstParagraph"/>
      </w:pPr>
      <w:r>
        <w:rPr>
          <w:b/>
          <w:bCs/>
        </w:rPr>
        <w:t xml:space="preserve">Omvang en periode.</w:t>
      </w:r>
      <w:r>
        <w:t xml:space="preserve"> </w:t>
      </w:r>
      <w:r>
        <w:t xml:space="preserve">4.569 records, 23 lijstkandidaten, 2012–2024</w:t>
      </w:r>
    </w:p>
    <w:p>
      <w:pPr>
        <w:pStyle w:val="BodyText"/>
      </w:pPr>
      <w:r>
        <w:rPr>
          <w:b/>
          <w:bCs/>
        </w:rPr>
        <w:t xml:space="preserve">Wat kan nu?</w:t>
      </w:r>
      <w:r>
        <w:t xml:space="preserve"> </w:t>
      </w:r>
      <w:r>
        <w:t xml:space="preserve">Voorlopige vergelijking van inventarisaties</w:t>
      </w:r>
    </w:p>
    <w:p>
      <w:pPr>
        <w:pStyle w:val="BodyText"/>
      </w:pPr>
      <w:r>
        <w:rPr>
          <w:b/>
          <w:bCs/>
        </w:rPr>
        <w:t xml:space="preserve">Wat ontbreekt voor zelfstandige trends?</w:t>
      </w:r>
      <w:r>
        <w:t xml:space="preserve"> </w:t>
      </w:r>
      <w:r>
        <w:t xml:space="preserve">Oorspronkelijke lijstcodes en bevestiging welke tellingen onafhankelijk zijn</w:t>
      </w:r>
    </w:p>
    <w:bookmarkEnd w:id="27"/>
    <w:bookmarkStart w:id="28" w:name="Xc056d2025de29c95bc511421c5f5e41469354eb"/>
    <w:p>
      <w:pPr>
        <w:pStyle w:val="Heading4"/>
      </w:pPr>
      <w:r>
        <w:t xml:space="preserve">1.5.12. FLORBASE en andere vaatplantinventarisaties</w:t>
      </w:r>
    </w:p>
    <w:p>
      <w:pPr>
        <w:pStyle w:val="FirstParagraph"/>
      </w:pPr>
      <w:r>
        <w:rPr>
          <w:b/>
          <w:bCs/>
        </w:rPr>
        <w:t xml:space="preserve">Omvang en periode.</w:t>
      </w:r>
      <w:r>
        <w:t xml:space="preserve"> </w:t>
      </w:r>
      <w:r>
        <w:t xml:space="preserve">21.374 records, 1974–2025</w:t>
      </w:r>
    </w:p>
    <w:p>
      <w:pPr>
        <w:pStyle w:val="BodyText"/>
      </w:pPr>
      <w:r>
        <w:rPr>
          <w:b/>
          <w:bCs/>
        </w:rPr>
        <w:t xml:space="preserve">Wat kan nu?</w:t>
      </w:r>
      <w:r>
        <w:t xml:space="preserve"> </w:t>
      </w:r>
      <w:r>
        <w:t xml:space="preserve">Verspreiding en floristische context</w:t>
      </w:r>
    </w:p>
    <w:p>
      <w:pPr>
        <w:pStyle w:val="BodyText"/>
      </w:pPr>
      <w:r>
        <w:rPr>
          <w:b/>
          <w:bCs/>
        </w:rPr>
        <w:t xml:space="preserve">Wat ontbreekt voor zelfstandige trends?</w:t>
      </w:r>
      <w:r>
        <w:t xml:space="preserve"> </w:t>
      </w:r>
      <w:r>
        <w:t xml:space="preserve">Oorspronkelijke lijsten, onderzochte gebieden en volledige bezoekstructuur</w:t>
      </w:r>
    </w:p>
    <w:bookmarkEnd w:id="28"/>
    <w:bookmarkStart w:id="29" w:name="Xb2fbeb28e0a334b9e6cb93232c4d845faf48221"/>
    <w:p>
      <w:pPr>
        <w:pStyle w:val="Heading4"/>
      </w:pPr>
      <w:r>
        <w:t xml:space="preserve">1.5.13. LMF-aandachtssoorten</w:t>
      </w:r>
    </w:p>
    <w:p>
      <w:pPr>
        <w:pStyle w:val="FirstParagraph"/>
      </w:pPr>
      <w:r>
        <w:rPr>
          <w:b/>
          <w:bCs/>
        </w:rPr>
        <w:t xml:space="preserve">Omvang en periode.</w:t>
      </w:r>
      <w:r>
        <w:t xml:space="preserve"> </w:t>
      </w:r>
      <w:r>
        <w:t xml:space="preserve">5.980 records, 2000–2025</w:t>
      </w:r>
    </w:p>
    <w:p>
      <w:pPr>
        <w:pStyle w:val="BodyText"/>
      </w:pPr>
      <w:r>
        <w:rPr>
          <w:b/>
          <w:bCs/>
        </w:rPr>
        <w:t xml:space="preserve">Wat kan nu?</w:t>
      </w:r>
      <w:r>
        <w:t xml:space="preserve"> </w:t>
      </w:r>
      <w:r>
        <w:t xml:space="preserve">Positieve aanwezigheid</w:t>
      </w:r>
    </w:p>
    <w:p>
      <w:pPr>
        <w:pStyle w:val="BodyText"/>
      </w:pPr>
      <w:r>
        <w:rPr>
          <w:b/>
          <w:bCs/>
        </w:rPr>
        <w:t xml:space="preserve">Wat ontbreekt voor zelfstandige trends?</w:t>
      </w:r>
      <w:r>
        <w:t xml:space="preserve"> </w:t>
      </w:r>
      <w:r>
        <w:t xml:space="preserve">Oorspronkelijke routes, bezoeken en gevolgde soortenlijst</w:t>
      </w:r>
    </w:p>
    <w:bookmarkEnd w:id="29"/>
    <w:bookmarkStart w:id="30" w:name="X0ce2ec4e8b5503e251897e5490450ca2d9e0742"/>
    <w:p>
      <w:pPr>
        <w:pStyle w:val="Heading4"/>
      </w:pPr>
      <w:r>
        <w:t xml:space="preserve">1.5.14. Mossen en korstmossen</w:t>
      </w:r>
    </w:p>
    <w:p>
      <w:pPr>
        <w:pStyle w:val="FirstParagraph"/>
      </w:pPr>
      <w:r>
        <w:rPr>
          <w:b/>
          <w:bCs/>
        </w:rPr>
        <w:t xml:space="preserve">Omvang en periode.</w:t>
      </w:r>
      <w:r>
        <w:t xml:space="preserve"> </w:t>
      </w:r>
      <w:r>
        <w:t xml:space="preserve">761 records, 2000–2025</w:t>
      </w:r>
    </w:p>
    <w:p>
      <w:pPr>
        <w:pStyle w:val="BodyText"/>
      </w:pPr>
      <w:r>
        <w:rPr>
          <w:b/>
          <w:bCs/>
        </w:rPr>
        <w:t xml:space="preserve">Wat kan nu?</w:t>
      </w:r>
      <w:r>
        <w:t xml:space="preserve"> </w:t>
      </w:r>
      <w:r>
        <w:t xml:space="preserve">Positieve aanwezigheid en voorlopige proefvlakvergelijking</w:t>
      </w:r>
    </w:p>
    <w:p>
      <w:pPr>
        <w:pStyle w:val="BodyText"/>
      </w:pPr>
      <w:r>
        <w:rPr>
          <w:b/>
          <w:bCs/>
        </w:rPr>
        <w:t xml:space="preserve">Wat ontbreekt voor zelfstandige trends?</w:t>
      </w:r>
      <w:r>
        <w:t xml:space="preserve"> </w:t>
      </w:r>
      <w:r>
        <w:t xml:space="preserve">Oorspronkelijke proefvlak-, lijst- en waarnemersgegevens</w:t>
      </w:r>
    </w:p>
    <w:bookmarkEnd w:id="30"/>
    <w:bookmarkStart w:id="31" w:name="X339fafe251367982d6218746f16721a93fa7f70"/>
    <w:p>
      <w:pPr>
        <w:pStyle w:val="Heading4"/>
      </w:pPr>
      <w:r>
        <w:t xml:space="preserve">1.5.15. Bos- en zeereeppaddenstoelen</w:t>
      </w:r>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bookmarkEnd w:id="31"/>
    <w:bookmarkStart w:id="32" w:name="X342bae7ae5afae546f17223888206446d449411"/>
    <w:p>
      <w:pPr>
        <w:pStyle w:val="Heading4"/>
      </w:pPr>
      <w:r>
        <w:t xml:space="preserve">1.5.16. Weekdieren</w:t>
      </w:r>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bookmarkEnd w:id="32"/>
    <w:bookmarkStart w:id="33" w:name="Xcc11e4dda0fa9b87cf2613be17ff277804bdc91"/>
    <w:p>
      <w:pPr>
        <w:pStyle w:val="Heading4"/>
      </w:pPr>
      <w:r>
        <w:t xml:space="preserve">1.5.17. SNL-gebiedsmonitoring</w:t>
      </w:r>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bookmarkEnd w:id="33"/>
    <w:bookmarkEnd w:id="34"/>
    <w:bookmarkStart w:id="42" w:name="X77733873953f7250a44afc39ac6f33e9c0fface"/>
    <w:p>
      <w:pPr>
        <w:pStyle w:val="Heading3"/>
      </w:pPr>
      <w:r>
        <w:t xml:space="preserve">1.6. Openbare externe ecologiebronnen</w:t>
      </w:r>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5">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bookmarkStart w:id="36" w:name="Xaa03dabe850e534118471d9a4587f103d7cc6d0"/>
    <w:p>
      <w:pPr>
        <w:pStyle w:val="Heading4"/>
      </w:pPr>
      <w:r>
        <w:t xml:space="preserve">1.6.1. STOWA Limnodata</w:t>
      </w:r>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bookmarkEnd w:id="36"/>
    <w:bookmarkStart w:id="37" w:name="Xe9b446960bca12075cdde30af1cbaf73f645a87"/>
    <w:p>
      <w:pPr>
        <w:pStyle w:val="Heading4"/>
      </w:pPr>
      <w:r>
        <w:t xml:space="preserve">1.6.2. ENDURE helmduinfauna</w:t>
      </w:r>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bookmarkEnd w:id="37"/>
    <w:bookmarkStart w:id="38" w:name="X0079604d46da30ac9b5828c2b6c106eff7cd8f8"/>
    <w:p>
      <w:pPr>
        <w:pStyle w:val="Heading4"/>
      </w:pPr>
      <w:r>
        <w:t xml:space="preserve">1.6.3. Landelijke Vegetatie Databank</w:t>
      </w:r>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bookmarkEnd w:id="38"/>
    <w:bookmarkStart w:id="39" w:name="Xa66e2be297c2cf82b37e3e4b59e101c55a2b789"/>
    <w:p>
      <w:pPr>
        <w:pStyle w:val="BodyText"/>
      </w:pPr>
      <w:r>
        <w:rPr>
          <w:b/>
        </w:rPr>
        <w:t>Overlap en gebruik.</w:t>
      </w:r>
      <w:r>
        <w:t xml:space="preserve"> 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rPr>
        <w:t>PQ-broncontrole, 27 september 2026.</w:t>
      </w:r>
      <w:r>
        <w:t xml:space="preserve"> 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 gis/scripts/run_external_ecology_overlap_audit.py --pq-inventarisatie. Uitvoeringsbewijs en gecontroleerde herstelback-up staan lokaal onder outputs/pq-integratie.</w:t>
      </w:r>
    </w:p>
    <w:p>
      <w:pPr>
        <w:pStyle w:val="BodyText"/>
      </w:pPr>
      <w:r>
        <w:rPr>
          <w:b/>
        </w:rPr>
        <w:t>Taxonomische importbeperking, vastgesteld 27 september 2026.</w:t>
      </w:r>
      <w:r>
        <w:t xml:space="preserve"> De oorspronkelijke import gebruikte bij alle 81.310 toegelaten LVD-resultaten (1959–2015; 998 verschillende naamstrings) een status als taxonrang: 81.285 keer accepted en 25 keer synonym. De oorspronkelijke status blijft ook in de bronmetadata bewaard. Bij de 16.627 verplaatste resultaten heet dit veld nu taxonomische_status_aangeleverd; hun werkelijke taxonrang komt uit het centrale register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 docs/database/TAXONREGISTER.md voor model, controles en herstelwijze.</w:t>
      </w:r>
    </w:p>
    <w:p>
      <w:pPr/>
      <w:r>
        <w:t>Aanvullende taxonomische metadata, beoordeeld 27 september 2026. In de extractie van 998 LVD-naamgebruiken uit de bronreeks 1959–2015 is bij 122 het veld scientificNameAuthorship gelijk aan de volledige scientificName. Manifest v3 heeft deze tekst niet als auteur overgenomen: het centrale veld naam_auteur blijft voor deze 122 naamgebruiken leeg. De letterlijke bronmetadata zijn in taxa_bronkoppeling behouden. Dit betreft 122 naamgebruiken, niet 122 waarnemingen. De toevoeging aan het register verandert geen meetwaarden, ruimtelijke toelating, overlapbesluiten of bestaande bronvelden.</w:t>
      </w:r>
    </w:p>
    <w:p>
      <w:pPr>
        <w:pStyle w:val="Heading4"/>
      </w:pPr>
      <w:r>
        <w:t xml:space="preserve">1.6.4. Historische vlinder- en motcollectie</w:t>
      </w:r>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bookmarkEnd w:id="39"/>
    <w:bookmarkStart w:id="40" w:name="X0623f0a4d9ecb153e84d6aa679ad58f6c310383"/>
    <w:p>
      <w:pPr>
        <w:pStyle w:val="Heading4"/>
      </w:pPr>
      <w:r>
        <w:t xml:space="preserve">1.6.5. Naturalis Botany</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bookmarkEnd w:id="40"/>
    <w:bookmarkStart w:id="41" w:name="Xdd278617f9613de433492781e9679e24605d2f3"/>
    <w:p>
      <w:pPr>
        <w:pStyle w:val="Heading4"/>
      </w:pPr>
      <w:r>
        <w:t xml:space="preserve">1.6.6. Naturalis Coleoptera</w:t>
      </w:r>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bookmarkEnd w:id="41"/>
    <w:bookmarkEnd w:id="42"/>
    <w:bookmarkStart w:id="43" w:name="X4dcded00268e6461b0ddc34253d4faf52bf1dd1"/>
    <w:p>
      <w:pPr>
        <w:pStyle w:val="Heading3"/>
      </w:pPr>
      <w:r>
        <w:t xml:space="preserve">1.7. Openstaande ruimtelijke toelatingscontrole</w:t>
      </w:r>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bookmarkEnd w:id="43"/>
    <w:bookmarkStart w:id="49" w:name="X14c58f11b78e283997281ebde92c6b31ebc0c80"/>
    <w:p>
      <w:pPr>
        <w:pStyle w:val="Heading3"/>
      </w:pPr>
      <w:r>
        <w:t xml:space="preserve">1.8. Verklarende omgevingslagen</w:t>
      </w:r>
    </w:p>
    <w:p>
      <w:pPr>
        <w:pStyle w:val="FirstParagraph"/>
      </w:pPr>
      <w:r>
        <w:t xml:space="preserve">Deze gegevens zijn geen soortenwaarnemingen. Zij kunnen wel helpen om ecologische veranderingen te beschrijven of als mogelijke verklaring te toetsen.</w:t>
      </w:r>
    </w:p>
    <w:bookmarkStart w:id="44" w:name="X97e37a83ef92e6db79e0a815abf4c3d8d6d1754"/>
    <w:p>
      <w:pPr>
        <w:pStyle w:val="Heading4"/>
      </w:pPr>
      <w:r>
        <w:t xml:space="preserve">1.8.1. Dagelijks weer</w:t>
      </w:r>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bookmarkEnd w:id="44"/>
    <w:bookmarkStart w:id="45" w:name="X625608f018b59d28869e33232003bd07c2f07d5"/>
    <w:p>
      <w:pPr>
        <w:pStyle w:val="Heading4"/>
      </w:pPr>
      <w:r>
        <w:t xml:space="preserve">1.8.2. Hoogte</w:t>
      </w:r>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bookmarkEnd w:id="45"/>
    <w:bookmarkStart w:id="46" w:name="X8ebc62c1d17a2d7a08504bddffeeb5916a0bcb3"/>
    <w:p>
      <w:pPr>
        <w:pStyle w:val="Heading4"/>
      </w:pPr>
      <w:r>
        <w:t xml:space="preserve">1.8.3. Stikstofdepositie</w:t>
      </w:r>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bookmarkEnd w:id="46"/>
    <w:bookmarkStart w:id="47" w:name="X972156668716d33d6f7bf93cdaf573c7928edca"/>
    <w:p>
      <w:pPr>
        <w:pStyle w:val="Heading4"/>
      </w:pPr>
      <w:r>
        <w:t xml:space="preserve">1.8.4. Bodemgebruik</w:t>
      </w:r>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bookmarkEnd w:id="47"/>
    <w:bookmarkStart w:id="48" w:name="X92770fc640c1bb2fd0ffeda71d68ce2650b46be"/>
    <w:p>
      <w:pPr>
        <w:pStyle w:val="Heading4"/>
      </w:pPr>
      <w:r>
        <w:t xml:space="preserve">1.8.5. Natura 2000-habitat</w:t>
      </w:r>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bookmarkEnd w:id="48"/>
    <w:bookmarkEnd w:id="49"/>
    <w:bookmarkEnd w:id="50"/>
    <w:bookmarkStart w:id="58" w:name="X692b0a71312b2a939db271d079fb23757bfc15a"/>
    <w:p>
      <w:pPr>
        <w:pStyle w:val="Heading2"/>
      </w:pPr>
      <w:r>
        <w:t xml:space="preserve">2. Bronnen in MySQL-database</w:t>
      </w:r>
      <w:r>
        <w:t xml:space="preserve"> </w:t>
      </w:r>
      <w:r>
        <w:rPr>
          <w:rStyle w:val="VerbatimChar"/>
        </w:rPr>
        <w:t xml:space="preserve">Meijendel_bronnen</w:t>
      </w:r>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bookmarkStart w:id="52" w:name="X7ae3f60e8dd3c65bdde3d5f608a55d96632a876"/>
    <w:p>
      <w:pPr>
        <w:pStyle w:val="Heading3"/>
      </w:pPr>
      <w:r>
        <w:t xml:space="preserve">2.1. Duinvalleivegetatie</w:t>
      </w:r>
    </w:p>
    <w:p>
      <w:pPr>
        <w:pStyle w:val="FirstParagraph"/>
      </w:pPr>
      <w:r>
        <w:rPr>
          <w:b/>
          <w:bCs/>
        </w:rPr>
        <w:t xml:space="preserve">Beheerder.</w:t>
      </w:r>
      <w:r>
        <w:t xml:space="preserve"> </w:t>
      </w:r>
      <w:r>
        <w:t xml:space="preserve">Openbare onderzoeksdataset,</w:t>
      </w:r>
      <w:r>
        <w:t xml:space="preserve"> </w:t>
      </w:r>
      <w:hyperlink r:id="rId51">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bookmarkEnd w:id="52"/>
    <w:bookmarkStart w:id="53" w:name="X6cd5cd3671e295c222d5bd4a47757f0a76f0a19"/>
    <w:p>
      <w:pPr>
        <w:pStyle w:val="Heading3"/>
      </w:pPr>
      <w:r>
        <w:t xml:space="preserve">2.2. Vogelstand 1924</w:t>
      </w:r>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bookmarkEnd w:id="53"/>
    <w:bookmarkStart w:id="54" w:name="Xb3fdc40884db1bbf06132e666e117a731445140"/>
    <w:p>
      <w:pPr>
        <w:pStyle w:val="BodyText"/>
      </w:pPr>
      <w:r>
        <w:rPr>
          <w:b/>
        </w:rPr>
        <w:t>Waarde en beperking.</w:t>
      </w:r>
      <w:r>
        <w:t xml:space="preserve"> Historische vogelcontext. Zonder locatie per regel geen kavel- of ruimtelijke analyse. Het productieoverzicht van 28 september 2026 toont daarnaast een bestaande tabel vogelstand_1924 buiten de canonieke export. Deze blijft tijdens de PQ-publicatie onaangetast; haar aanwezigheid geeft geen nieuwe analysetoestemming. Dit schema-overzicht bewijst de tabelnaam en het type, niet haar actuele rijtelling.</w:t>
      </w:r>
    </w:p>
    <w:p>
      <w:pPr>
        <w:pStyle w:val="Heading3"/>
      </w:pPr>
      <w:r>
        <w:t xml:space="preserve">2.3. Jachtspinnen</w:t>
      </w:r>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bookmarkEnd w:id="54"/>
    <w:bookmarkStart w:id="55" w:name="X7c2c13aacf0ea926ee35ca97ab69391a3624a6f"/>
    <w:p>
      <w:pPr>
        <w:pStyle w:val="Heading3"/>
      </w:pPr>
      <w:r>
        <w:t xml:space="preserve">2.4. Literatuuroverzicht</w:t>
      </w:r>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bookmarkEnd w:id="55"/>
    <w:bookmarkStart w:id="56" w:name="X4a1f2475629c7656191227e4ca81566bef187e2"/>
    <w:p>
      <w:pPr>
        <w:pStyle w:val="Heading3"/>
      </w:pPr>
      <w:r>
        <w:t xml:space="preserve">2.5. Bijenmonitoring in vier beheergebieden</w:t>
      </w:r>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bookmarkEnd w:id="56"/>
    <w:bookmarkStart w:id="57" w:name="Xbef92f685785a24a45e5325384551ba55c57cc1"/>
    <w:p>
      <w:pPr>
        <w:pStyle w:val="Heading3"/>
      </w:pPr>
      <w:r>
        <w:t xml:space="preserve">2.6. Aquatische macrofauna 1974–1975</w:t>
      </w:r>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bookmarkEnd w:id="57"/>
    <w:bookmarkEnd w:id="58"/>
    <w:bookmarkStart w:id="78" w:name="X2b62b82ef201b4c91783bce15da2b1d0258c34c"/>
    <w:p>
      <w:pPr>
        <w:pStyle w:val="Heading2"/>
      </w:pPr>
      <w:r>
        <w:t xml:space="preserve">3. Geïdentificeerde externe kandidaatbronnen</w:t>
      </w:r>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bookmarkStart w:id="75" w:name="Xd53aceb4d9e4863cdbb6367737be5e291cdac65"/>
    <w:p>
      <w:pPr>
        <w:pStyle w:val="Heading3"/>
      </w:pPr>
      <w:r>
        <w:t xml:space="preserve">Kandidaten met de grootste verwachte aanvulling</w:t>
      </w:r>
    </w:p>
    <w:bookmarkStart w:id="59" w:name="Xbddce02f5cb2b082bf32fac381c8bc0ea5284d3"/>
    <w:p>
      <w:pPr>
        <w:pStyle w:val="Heading4"/>
      </w:pPr>
      <w:r>
        <w:t xml:space="preserve">3.1. Historische en actuele ringgegevens</w:t>
      </w:r>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bookmarkEnd w:id="59"/>
    <w:bookmarkStart w:id="60" w:name="X8071b7ae643e6cecadbf8a281c84bb90b511e63"/>
    <w:p>
      <w:pPr>
        <w:pStyle w:val="Heading4"/>
      </w:pPr>
      <w:r>
        <w:t xml:space="preserve">3.2. Erosiepinnen in een stuifkuilcomplex</w:t>
      </w:r>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bookmarkEnd w:id="60"/>
    <w:bookmarkStart w:id="61" w:name="X1b05a95cacb83608c9b762adcf4298810ed86f9"/>
    <w:p>
      <w:pPr>
        <w:pStyle w:val="Heading4"/>
      </w:pPr>
      <w:r>
        <w:t xml:space="preserve">3.3. Langjarige droge-duinvegetatieplots</w:t>
      </w:r>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bookmarkEnd w:id="61"/>
    <w:bookmarkStart w:id="63" w:name="X4578481a165cef1470f100d42a5e836ac7456f8"/>
    <w:p>
      <w:pPr>
        <w:pStyle w:val="Heading4"/>
      </w:pPr>
      <w:r>
        <w:t xml:space="preserve">3.4.</w:t>
      </w:r>
      <w:r>
        <w:t xml:space="preserve"> </w:t>
      </w:r>
      <w:hyperlink r:id="rId62">
        <w:r>
          <w:rPr>
            <w:rStyle w:val="Hyperlink"/>
          </w:rPr>
          <w:t xml:space="preserve">Neuropteren van Meijendel</w:t>
        </w:r>
      </w:hyperlink>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bookmarkEnd w:id="63"/>
    <w:bookmarkStart w:id="65" w:name="X642992b46f3d655730973d9bd57c00f9c7aad9f"/>
    <w:p>
      <w:pPr>
        <w:pStyle w:val="Heading4"/>
      </w:pPr>
      <w:r>
        <w:t xml:space="preserve">3.5.</w:t>
      </w:r>
      <w:r>
        <w:t xml:space="preserve"> </w:t>
      </w:r>
      <w:hyperlink r:id="rId64">
        <w:r>
          <w:rPr>
            <w:rStyle w:val="Hyperlink"/>
          </w:rPr>
          <w:t xml:space="preserve">Zweefvliegen van Meijendel</w:t>
        </w:r>
      </w:hyperlink>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bookmarkEnd w:id="65"/>
    <w:bookmarkStart w:id="67" w:name="X80b82bf48485caf594896b8d6bc490be5f328ee"/>
    <w:p>
      <w:pPr>
        <w:pStyle w:val="Heading4"/>
      </w:pPr>
      <w:r>
        <w:t xml:space="preserve">3.6. TERRA-Dunes plant- en bodemmicrobiomen</w:t>
      </w:r>
    </w:p>
    <w:p>
      <w:pPr>
        <w:pStyle w:val="FirstParagraph"/>
      </w:pPr>
      <w:r>
        <w:rPr>
          <w:b/>
          <w:bCs/>
        </w:rPr>
        <w:t xml:space="preserve">Eigenaar of uitgever.</w:t>
      </w:r>
      <w:r>
        <w:t xml:space="preserve"> </w:t>
      </w:r>
      <w:r>
        <w:t xml:space="preserve">Onderzoeksteam TERRA-Dunes,</w:t>
      </w:r>
      <w:r>
        <w:t xml:space="preserve"> </w:t>
      </w:r>
      <w:hyperlink r:id="rId66">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bookmarkEnd w:id="67"/>
    <w:bookmarkStart w:id="69" w:name="X4b2db10b2340db42e20505c45425c0b84f14c27"/>
    <w:p>
      <w:pPr>
        <w:pStyle w:val="Heading4"/>
      </w:pPr>
      <w:r>
        <w:t xml:space="preserve">3.7. Rups- en bodemmicrobiomen</w:t>
      </w:r>
    </w:p>
    <w:p>
      <w:pPr>
        <w:pStyle w:val="FirstParagraph"/>
      </w:pPr>
      <w:r>
        <w:rPr>
          <w:b/>
          <w:bCs/>
        </w:rPr>
        <w:t xml:space="preserve">Eigenaar of uitgever.</w:t>
      </w:r>
      <w:r>
        <w:t xml:space="preserve"> </w:t>
      </w:r>
      <w:r>
        <w:t xml:space="preserve">Onderzoeksteam,</w:t>
      </w:r>
      <w:r>
        <w:t xml:space="preserve"> </w:t>
      </w:r>
      <w:hyperlink r:id="rId68">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bookmarkEnd w:id="69"/>
    <w:bookmarkStart w:id="71" w:name="X442e94e4e2997aa133d10bf618574e2528e759d"/>
    <w:p>
      <w:pPr>
        <w:pStyle w:val="Heading4"/>
      </w:pPr>
      <w:r>
        <w:t xml:space="preserve">3.8. Schimmels bij kruipwilg</w:t>
      </w:r>
    </w:p>
    <w:p>
      <w:pPr>
        <w:pStyle w:val="FirstParagraph"/>
      </w:pPr>
      <w:r>
        <w:rPr>
          <w:b/>
          <w:bCs/>
        </w:rPr>
        <w:t xml:space="preserve">Eigenaar of uitgever.</w:t>
      </w:r>
      <w:r>
        <w:t xml:space="preserve"> </w:t>
      </w:r>
      <w:r>
        <w:t xml:space="preserve">Onderzoeksteam,</w:t>
      </w:r>
      <w:r>
        <w:t xml:space="preserve"> </w:t>
      </w:r>
      <w:hyperlink r:id="rId70">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bookmarkEnd w:id="71"/>
    <w:bookmarkStart w:id="73" w:name="X36e8e197a59cff4a0251b791dc5fc6bc0e135bf"/>
    <w:p>
      <w:pPr>
        <w:pStyle w:val="Heading4"/>
      </w:pPr>
      <w:r>
        <w:t xml:space="preserve">3.9. Plantengroei, bodemvocht en weer</w:t>
      </w:r>
    </w:p>
    <w:p>
      <w:pPr>
        <w:pStyle w:val="FirstParagraph"/>
      </w:pPr>
      <w:r>
        <w:rPr>
          <w:b/>
          <w:bCs/>
        </w:rPr>
        <w:t xml:space="preserve">Eigenaar of uitgever.</w:t>
      </w:r>
      <w:r>
        <w:t xml:space="preserve"> </w:t>
      </w:r>
      <w:r>
        <w:t xml:space="preserve">Wageningen University &amp; Research,</w:t>
      </w:r>
      <w:r>
        <w:t xml:space="preserve"> </w:t>
      </w:r>
      <w:hyperlink r:id="rId72">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bookmarkEnd w:id="73"/>
    <w:bookmarkStart w:id="74" w:name="X49ed5beca1c3c65272a43e85c3687f3c3d41d64"/>
    <w:p>
      <w:pPr>
        <w:pStyle w:val="Heading4"/>
      </w:pPr>
      <w:r>
        <w:t xml:space="preserve">3.10. Genetische datasets amfibieën</w:t>
      </w:r>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bookmarkEnd w:id="74"/>
    <w:bookmarkEnd w:id="75"/>
    <w:bookmarkStart w:id="77" w:name="X136d668cd3b301eba92f27584d1a2d49d57a73c"/>
    <w:p>
      <w:pPr>
        <w:pStyle w:val="Heading3"/>
      </w:pPr>
      <w:r>
        <w:t xml:space="preserve">3.11. Alleen context of nog een onderzoeksaanwijzing</w:t>
      </w:r>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76">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bookmarkEnd w:id="77"/>
    <w:bookmarkEnd w:id="78"/>
    <w:bookmarkStart w:id="79" w:name="Xc540a83ee65aaec11aa446aec0815d16fd21e21"/>
    <w:p>
      <w:pPr>
        <w:pStyle w:val="Heading2"/>
      </w:pPr>
      <w:r>
        <w:t xml:space="preserve">4. Verwachte aanvullingen</w:t>
      </w:r>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bookmarkEnd w:id="79"/>
    <w:bookmarkStart w:id="80" w:name="X422e6271160c2b04a3b59fb5b59cfcc2e3afc55"/>
    <w:p>
      <w:pPr>
        <w:pStyle w:val="Heading2"/>
      </w:pPr>
      <w:r>
        <w:t xml:space="preserve">5. Bronnen die niet verder worden uitgewerkt</w:t>
      </w:r>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bookmarkEnd w:id="80"/>
    <w:bookmarkStart w:id="81" w:name="Xb05dec49988a12f7955d21ff17f1c91e4d061eb"/>
    <w:p>
      <w:pPr>
        <w:pStyle w:val="Heading2"/>
      </w:pPr>
      <w:r>
        <w:t xml:space="preserve">6. Gebruik van dit register</w:t>
      </w:r>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bookmarkEnd w:id="81"/>
    <w:bookmarkStart w:id="87" w:name="X67781990bcb7d7d43cc312a7ef48f37a1f83265"/>
    <w:p>
      <w:pPr>
        <w:pStyle w:val="Heading2"/>
      </w:pPr>
      <w:r>
        <w:t xml:space="preserve">7. Actieplan</w:t>
      </w:r>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bookmarkStart w:id="82" w:name="Xd7f889e2150e602eaeb242f489896c9b52af547"/>
    <w:p>
      <w:pPr>
        <w:pStyle w:val="Heading3"/>
      </w:pPr>
      <w:r>
        <w:t xml:space="preserve">Fase 1 — openbare, direct toetsbare bronnen</w:t>
      </w:r>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bookmarkEnd w:id="82"/>
    <w:bookmarkStart w:id="83" w:name="Xa67120beb48c3916f8a53c623f303ce8b8a6005"/>
    <w:p>
      <w:pPr>
        <w:pStyle w:val="BodyText"/>
      </w:pPr>
      <w:r>
        <w:rPr>
          <w:b/>
        </w:rPr>
        <w:t>Landelijke Vegetatie Databank: uitgevoerd voor de reproduceerbare bronversie 1.6.</w:t>
      </w:r>
      <w:r>
        <w:t xml:space="preserve"> 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 Meijendel_bronnen.</w:t>
      </w:r>
    </w:p>
    <w:p>
      <w:pPr>
        <w:pStyle w:val="Heading3"/>
      </w:pPr>
      <w:r>
        <w:t xml:space="preserve">Fase 2 — reeksen met grote historische of trendwaarde</w:t>
      </w:r>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bookmarkEnd w:id="83"/>
    <w:bookmarkStart w:id="84" w:name="Xc96f79f2027e81b7ab280f9bf69df5af8bdf464"/>
    <w:p>
      <w:pPr>
        <w:pStyle w:val="Heading3"/>
      </w:pPr>
      <w:r>
        <w:t xml:space="preserve">Fase 3 — reeds bekende bronhouders en contextdatasets</w:t>
      </w:r>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bookmarkEnd w:id="84"/>
    <w:bookmarkStart w:id="85" w:name="vaste-werkwijze-per-bron"/>
    <w:p>
      <w:pPr>
        <w:pStyle w:val="Heading3"/>
      </w:pPr>
      <w:r>
        <w:t xml:space="preserve">Vaste werkwijze per bron</w:t>
      </w:r>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bookmarkEnd w:id="85"/>
    <w:bookmarkStart w:id="86" w:name="dekking-van-de-internetcontrole"/>
    <w:p>
      <w:pPr>
        <w:pStyle w:val="Heading3"/>
      </w:pPr>
      <w:r>
        <w:t xml:space="preserve">Dekking van de internetcontrole</w:t>
      </w:r>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bookmarkEnd w:id="86"/>
    <w:bookmarkEnd w:id="87"/>
    <w:bookmarkStart w:id="95" w:name="achterliggende-verantwoording"/>
    <w:p>
      <w:pPr>
        <w:pStyle w:val="Heading2"/>
      </w:pPr>
      <w:r>
        <w:t xml:space="preserve">Achterliggende verantwoording</w:t>
      </w:r>
    </w:p>
    <w:p>
      <w:pPr>
        <w:pStyle w:val="Compact"/>
        <w:numPr>
          <w:ilvl w:val="0"/>
          <w:numId w:val="1005"/>
        </w:numPr>
      </w:pPr>
      <w:hyperlink r:id="rId88">
        <w:r>
          <w:rPr>
            <w:rStyle w:val="Hyperlink"/>
          </w:rPr>
          <w:t xml:space="preserve">NDFF-staging en bronvergelijking</w:t>
        </w:r>
      </w:hyperlink>
    </w:p>
    <w:p>
      <w:pPr>
        <w:pStyle w:val="Compact"/>
        <w:numPr>
          <w:ilvl w:val="0"/>
          <w:numId w:val="1005"/>
        </w:numPr>
      </w:pPr>
      <w:hyperlink r:id="rId89">
        <w:r>
          <w:rPr>
            <w:rStyle w:val="Hyperlink"/>
          </w:rPr>
          <w:t xml:space="preserve">NDFF-protocolaudit</w:t>
        </w:r>
      </w:hyperlink>
    </w:p>
    <w:p>
      <w:pPr>
        <w:pStyle w:val="Compact"/>
        <w:numPr>
          <w:ilvl w:val="0"/>
          <w:numId w:val="1005"/>
        </w:numPr>
      </w:pPr>
      <w:hyperlink r:id="rId90">
        <w:r>
          <w:rPr>
            <w:rStyle w:val="Hyperlink"/>
          </w:rPr>
          <w:t xml:space="preserve">Scheiding tussen Meijendel en Meijendel_bronnen</w:t>
        </w:r>
      </w:hyperlink>
    </w:p>
    <w:p>
      <w:pPr>
        <w:pStyle w:val="Compact"/>
        <w:numPr>
          <w:ilvl w:val="0"/>
          <w:numId w:val="1005"/>
        </w:numPr>
      </w:pPr>
      <w:hyperlink r:id="rId91">
        <w:r>
          <w:rPr>
            <w:rStyle w:val="Hyperlink"/>
          </w:rPr>
          <w:t xml:space="preserve">Ruimtelijke audit van contextbronnen</w:t>
        </w:r>
      </w:hyperlink>
    </w:p>
    <w:p>
      <w:pPr>
        <w:pStyle w:val="Compact"/>
        <w:numPr>
          <w:ilvl w:val="0"/>
          <w:numId w:val="1005"/>
        </w:numPr>
      </w:pPr>
      <w:hyperlink r:id="rId92">
        <w:r>
          <w:rPr>
            <w:rStyle w:val="Hyperlink"/>
          </w:rPr>
          <w:t xml:space="preserve">Importbesluit duinvalleivegetatie</w:t>
        </w:r>
      </w:hyperlink>
    </w:p>
    <w:p>
      <w:pPr>
        <w:pStyle w:val="Compact"/>
        <w:numPr>
          <w:ilvl w:val="0"/>
          <w:numId w:val="1005"/>
        </w:numPr>
      </w:pPr>
      <w:hyperlink r:id="rId93">
        <w:r>
          <w:rPr>
            <w:rStyle w:val="Hyperlink"/>
          </w:rPr>
          <w:t xml:space="preserve">Ruimtelijke bronlagen en toelatingsregels</w:t>
        </w:r>
      </w:hyperlink>
    </w:p>
    <w:p>
      <w:pPr>
        <w:pStyle w:val="Compact"/>
        <w:numPr>
          <w:ilvl w:val="0"/>
          <w:numId w:val="1005"/>
        </w:numPr>
      </w:pPr>
      <w:hyperlink r:id="rId94">
        <w:r>
          <w:rPr>
            <w:rStyle w:val="Hyperlink"/>
          </w:rPr>
          <w:t xml:space="preserve">Beveiligde NDFF-ontvangst</w:t>
        </w:r>
      </w:hyperlink>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_rels/footnotes.xml.rels><?xml version='1.0' encoding='UTF-8' standalone='yes'?>
<Relationships xmlns="http://schemas.openxmlformats.org/package/2006/relationships"><Relationship Id="rId35" Type="http://schemas.openxmlformats.org/officeDocument/2006/relationships/hyperlink" Target="../gis/audit/externe_ecologie_fase1_2_manifest.json" TargetMode="External"/><Relationship Id="rId90" Type="http://schemas.openxmlformats.org/officeDocument/2006/relationships/hyperlink" Target="bronnen/MEIJENDEL_BRONNEN.md" TargetMode="External"/><Relationship Id="rId91" Type="http://schemas.openxmlformats.org/officeDocument/2006/relationships/hyperlink" Target="bronnen/audits/MEIJENDEL_BRONNEN_AUDIT.md" TargetMode="External"/><Relationship Id="rId89" Type="http://schemas.openxmlformats.org/officeDocument/2006/relationships/hyperlink" Target="bronnen/audits/NDFF_PROTOCOLAUDIT.md" TargetMode="External"/><Relationship Id="rId88" Type="http://schemas.openxmlformats.org/officeDocument/2006/relationships/hyperlink" Target="bronnen/bronvergelijkingen/NDFF_STAGINGDATASET.md" TargetMode="External"/><Relationship Id="rId92" Type="http://schemas.openxmlformats.org/officeDocument/2006/relationships/hyperlink" Target="bronnen/importbesluiten/DUINVALLEI_VEGETATIE.md" TargetMode="External"/><Relationship Id="rId93" Type="http://schemas.openxmlformats.org/officeDocument/2006/relationships/hyperlink" Target="bronnen/importbesluiten/MEIJENDEL_RUIMTELIJKE_LAGEN.md" TargetMode="External"/><Relationship Id="rId94" Type="http://schemas.openxmlformats.org/officeDocument/2006/relationships/hyperlink" Target="bronnen/importbesluiten/NDFF_SECURE_ONTVANGST.md" TargetMode="External"/><Relationship Id="rId76" Type="http://schemas.openxmlformats.org/officeDocument/2006/relationships/hyperlink" Target="https://doi.org/10.1007/s10531-025-03175-x" TargetMode="External"/><Relationship Id="rId70" Type="http://schemas.openxmlformats.org/officeDocument/2006/relationships/hyperlink" Target="https://doi.org/10.1371/journal.pone.0099852" TargetMode="External"/><Relationship Id="rId15" Type="http://schemas.openxmlformats.org/officeDocument/2006/relationships/hyperlink" Target="https://doi.org/10.15468/adsbxs" TargetMode="External"/><Relationship Id="rId72" Type="http://schemas.openxmlformats.org/officeDocument/2006/relationships/hyperlink" Target="https://doi.org/10.17026/DANS-28X-UT8Q" TargetMode="External"/><Relationship Id="rId68" Type="http://schemas.openxmlformats.org/officeDocument/2006/relationships/hyperlink" Target="https://doi.org/10.5061/dryad.8cz8w9gnc" TargetMode="External"/><Relationship Id="rId51" Type="http://schemas.openxmlformats.org/officeDocument/2006/relationships/hyperlink" Target="https://doi.org/10.5281/zenodo.21796880" TargetMode="External"/><Relationship Id="rId66" Type="http://schemas.openxmlformats.org/officeDocument/2006/relationships/hyperlink" Target="https://doi.org/10.6084/m9.figshare.25425601.v1" TargetMode="External"/><Relationship Id="rId64" Type="http://schemas.openxmlformats.org/officeDocument/2006/relationships/hyperlink" Target="https://repository.naturalis.nl/pub/317221" TargetMode="External"/><Relationship Id="rId62" Type="http://schemas.openxmlformats.org/officeDocument/2006/relationships/hyperlink" Target="https://repository.naturalis.nl/pub/31724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2026-09-26T14:18:35Z</dcterms:created>
  <dcterms:modified xsi:type="dcterms:W3CDTF">2026-09-26T14:18:35Z</dcterms:modified>
</cp:coreProperties>
</file>

<file path=docProps/custom.xml><?xml version="1.0" encoding="utf-8"?>
<Properties xmlns="http://schemas.openxmlformats.org/officeDocument/2006/custom-properties" xmlns:vt="http://schemas.openxmlformats.org/officeDocument/2006/docPropsVTypes"/>
</file>