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Wetenschappelijk verantwoord gebruik van natuurprotocollen</w:t>
      </w:r>
    </w:p>
    <w:p>
      <w:r>
        <w:rPr>
          <w:b/>
        </w:rPr>
        <w:t>Hieronder staat de gebruiksclassificatie voor alle 54 protocollen.</w:t>
      </w:r>
      <w:r>
        <w:t xml:space="preserve"> Per protocol geef ik aan welke wetenschappelijke toepassing de beschreven onderzoeksopzet ondersteunt, welke analyse daarbij past en waar de grens ligt.</w:t>
      </w:r>
    </w:p>
    <w:p>
      <w:r>
        <w:t xml:space="preserve">De beoordeling betreft </w:t>
      </w:r>
      <w:r>
        <w:rPr>
          <w:b/>
        </w:rPr>
        <w:t>de volledige onderzoeksgegevens</w:t>
      </w:r>
      <w:r>
        <w:t xml:space="preserve">, niet uitsluitend waarnemingspunten met een protocolcode. Dat onderscheid is essentieel: de NDFF vermeldt expliciet dat met de via haar gedeelde NEM-gegevens de NEM-trends niet kunnen worden nagerekend. Of jouw twee leveringen voldoende aanvullende onderzoeksgegevens bevatten: </w:t>
      </w:r>
      <w:r>
        <w:rPr>
          <w:b/>
        </w:rPr>
        <w:t>dit kan ik niet verifiëren zonder de bestanden.</w:t>
      </w:r>
      <w:r>
        <w:t xml:space="preserve"> </w:t>
      </w:r>
      <w:hyperlink w:anchor="bron_1" w:history="1">
        <w:r>
          <w:rPr>
            <w:color w:val="303030"/>
            <w:vertAlign w:val="superscript"/>
            <w:sz w:val="17"/>
          </w:rPr>
          <w:t>[1]</w:t>
        </w:r>
      </w:hyperlink>
    </w:p>
    <w:p>
      <w:r>
        <w:t xml:space="preserve">Bijbehorende filterbare gebruiksmatrix in Excel: </w:t>
      </w:r>
      <w:r>
        <w:rPr>
          <w:b/>
        </w:rPr>
        <w:t>Natuurprotocollen_gebruiksmatrix.xlsx</w:t>
      </w:r>
      <w:r>
        <w:t>.</w:t>
      </w:r>
    </w:p>
    <w:p>
      <w:r>
        <w:t xml:space="preserve">Het bestand bevat drie tabbladen: </w:t>
      </w:r>
      <w:r>
        <w:rPr>
          <w:b/>
        </w:rPr>
        <w:t>Leeswijzer</w:t>
      </w:r>
      <w:r>
        <w:t xml:space="preserve">, </w:t>
      </w:r>
      <w:r>
        <w:rPr>
          <w:b/>
        </w:rPr>
        <w:t>Protocollen</w:t>
      </w:r>
      <w:r>
        <w:t xml:space="preserve"> en </w:t>
      </w:r>
      <w:r>
        <w:rPr>
          <w:b/>
        </w:rPr>
        <w:t>Bronnen</w:t>
      </w:r>
      <w:r>
        <w:t>. Daarin staat ook de oorspronkelijke verdeling over beide leveringen. Hieronder groepeer ik de protocollen naar hun wetenschappelijke gebruik.</w:t>
      </w:r>
    </w:p>
    <w:p>
      <w:pPr>
        <w:pStyle w:val="Heading1"/>
        <w:keepNext/>
        <w:keepLines/>
        <w:pageBreakBefore w:val="0"/>
      </w:pPr>
      <w:r>
        <w:t>1. Aantals- en abundantiemonitoring — TA</w:t>
      </w:r>
    </w:p>
    <w:p>
      <w:pPr>
        <w:keepNext/>
        <w:keepLines/>
      </w:pPr>
      <w:r>
        <w:rPr>
          <w:b/>
        </w:rPr>
        <w:t>Verantwoord gebruik:</w:t>
      </w:r>
      <w:r>
        <w:t xml:space="preserve"> veranderingen onderzoeken in vergelijkbare tellingen op terugkerende meetlocaties. Afhankelijk van het protocol gaat het om dieren, planten, vruchtlichamen, vangsten of akoestische activiteit. Die meeteenheden zijn niet onderling uitwisselbaar.</w:t>
      </w:r>
    </w:p>
    <w:p>
      <w:pPr>
        <w:keepNext/>
        <w:keepLines/>
      </w:pPr>
      <w:r>
        <w:t xml:space="preserve">De passende analyse gebruikt locatie- en jaareffecten en houdt rekening met seizoen, inspanning en methodewijzigingen. Een dergelijke analyse levert doorgaans een </w:t>
      </w:r>
      <w:r>
        <w:rPr>
          <w:b/>
        </w:rPr>
        <w:t>relatieve index</w:t>
      </w:r>
      <w:r>
        <w:t>, niet automatisch een absolute populatieomvang. De gestandaardiseerde zoogdiertellingen illustreren deze benadering.</w:t>
      </w:r>
      <w:r>
        <w:t xml:space="preserve"> </w:t>
      </w:r>
      <w:hyperlink w:anchor="bron_2" w:history="1">
        <w:r>
          <w:rPr>
            <w:color w:val="303030"/>
            <w:vertAlign w:val="superscript"/>
            <w:sz w:val="17"/>
          </w:rPr>
          <w:t>[2]</w:t>
        </w:r>
      </w:hyperlink>
    </w:p>
    <w:tbl>
      <w:tblPr>
        <w:tblW w:type="auto" w:w="0"/>
        <w:jc w:val="center"/>
        <w:tblLayout w:type="fixed"/>
        <w:tblLook w:firstColumn="1" w:firstRow="1" w:lastColumn="0" w:lastRow="0" w:noHBand="0" w:noVBand="1" w:val="04A0"/>
        <w:tblBorders>
          <w:top w:val="single" w:sz="4" w:color="D3D3D3"/>
          <w:left w:val="single" w:sz="4" w:color="D3D3D3"/>
          <w:bottom w:val="single" w:sz="4" w:color="D3D3D3"/>
          <w:right w:val="single" w:sz="4" w:color="D3D3D3"/>
          <w:insideH w:val="single" w:sz="4" w:color="D3D3D3"/>
          <w:insideV w:val="single" w:sz="4" w:color="D3D3D3"/>
        </w:tblBorders>
        <w:tblCellMar>
          <w:top w:w="85" w:type="dxa"/>
          <w:bottom w:w="85" w:type="dxa"/>
          <w:left w:w="95" w:type="dxa"/>
          <w:right w:w="95" w:type="dxa"/>
        </w:tblCellMar>
      </w:tblPr>
      <w:tblGrid>
        <w:gridCol w:w="2381"/>
        <w:gridCol w:w="3345"/>
        <w:gridCol w:w="4139"/>
      </w:tblGrid>
      <w:tr>
        <w:trPr>
          <w:cantSplit/>
          <w:tblHeader w:val="true"/>
        </w:trPr>
        <w:tc>
          <w:tcPr>
            <w:tcW w:type="dxa" w:w="2381"/>
            <w:vAlign w:val="top"/>
            <w:shd w:fill="E6E6E6"/>
          </w:tcPr>
          <w:p>
            <w:pPr>
              <w:pStyle w:val="TableText"/>
              <w:keepNext/>
            </w:pPr>
            <w:r>
              <w:rPr>
                <w:b/>
              </w:rPr>
              <w:t>Protocol</w:t>
            </w:r>
          </w:p>
        </w:tc>
        <w:tc>
          <w:tcPr>
            <w:tcW w:type="dxa" w:w="3345"/>
            <w:vAlign w:val="top"/>
            <w:shd w:fill="E6E6E6"/>
          </w:tcPr>
          <w:p>
            <w:pPr>
              <w:pStyle w:val="TableText"/>
              <w:keepNext/>
            </w:pPr>
            <w:r>
              <w:rPr>
                <w:b/>
              </w:rPr>
              <w:t>Wetenschappelijk verantwoord gebruik</w:t>
            </w:r>
          </w:p>
        </w:tc>
        <w:tc>
          <w:tcPr>
            <w:tcW w:type="dxa" w:w="4139"/>
            <w:vAlign w:val="top"/>
            <w:shd w:fill="E6E6E6"/>
          </w:tcPr>
          <w:p>
            <w:pPr>
              <w:pStyle w:val="TableText"/>
              <w:keepNext/>
            </w:pPr>
            <w:r>
              <w:rPr>
                <w:b/>
              </w:rPr>
              <w:t>Belangrijkste voorwaarde of begrenzing</w:t>
            </w:r>
          </w:p>
        </w:tc>
      </w:tr>
      <w:tr>
        <w:trPr>
          <w:cantSplit/>
        </w:trPr>
        <w:tc>
          <w:tcPr>
            <w:tcW w:type="dxa" w:w="2381"/>
            <w:vAlign w:val="top"/>
          </w:tcPr>
          <w:p>
            <w:pPr>
              <w:pStyle w:val="TableText"/>
              <w:keepNext w:val="0"/>
              <w:keepLines/>
            </w:pPr>
            <w:r>
              <w:rPr>
                <w:b/>
              </w:rPr>
              <w:t>03.201</w:t>
            </w:r>
            <w:r>
              <w:br/>
            </w:r>
            <w:r>
              <w:rPr>
                <w:b/>
              </w:rPr>
              <w:t>Landelijk Meetnet Vlinders</w:t>
            </w:r>
          </w:p>
        </w:tc>
        <w:tc>
          <w:tcPr>
            <w:tcW w:type="dxa" w:w="3345"/>
            <w:vAlign w:val="top"/>
          </w:tcPr>
          <w:p>
            <w:pPr>
              <w:pStyle w:val="TableText"/>
              <w:keepNext w:val="0"/>
              <w:keepLines/>
            </w:pPr>
            <w:r>
              <w:t>Relatieve aantalstrends van dagvlinders berekenen uit herhaalde routetellingen.</w:t>
            </w:r>
          </w:p>
        </w:tc>
        <w:tc>
          <w:tcPr>
            <w:tcW w:type="dxa" w:w="4139"/>
            <w:vAlign w:val="top"/>
          </w:tcPr>
          <w:p>
            <w:pPr>
              <w:pStyle w:val="TableText"/>
              <w:keepNext w:val="0"/>
              <w:keepLines/>
            </w:pPr>
            <w:r>
              <w:t>Behoud route, secties, bezoeken en nulresultaten. Landelijke geschiktheid betekent niet dat iedere kleine gebiedsuitsnede voldoende gegevens bevat.</w:t>
            </w:r>
            <w:r>
              <w:t xml:space="preserve"> </w:t>
            </w:r>
            <w:hyperlink w:anchor="bron_3" w:history="1">
              <w:r>
                <w:rPr>
                  <w:color w:val="303030"/>
                  <w:vertAlign w:val="superscript"/>
                  <w:sz w:val="17"/>
                </w:rPr>
                <w:t>[3]</w:t>
              </w:r>
            </w:hyperlink>
          </w:p>
        </w:tc>
      </w:tr>
      <w:tr>
        <w:trPr>
          <w:cantSplit/>
        </w:trPr>
        <w:tc>
          <w:tcPr>
            <w:tcW w:type="dxa" w:w="2381"/>
            <w:vAlign w:val="top"/>
            <w:shd w:fill="F7F7F7"/>
          </w:tcPr>
          <w:p>
            <w:pPr>
              <w:pStyle w:val="TableText"/>
              <w:keepNext w:val="0"/>
              <w:keepLines/>
            </w:pPr>
            <w:r>
              <w:rPr>
                <w:b/>
              </w:rPr>
              <w:t>03.203</w:t>
            </w:r>
            <w:r>
              <w:br/>
            </w:r>
            <w:r>
              <w:rPr>
                <w:b/>
              </w:rPr>
              <w:t>Landelijk Meetprogramma Nachtvlinders</w:t>
            </w:r>
          </w:p>
        </w:tc>
        <w:tc>
          <w:tcPr>
            <w:tcW w:type="dxa" w:w="3345"/>
            <w:vAlign w:val="top"/>
            <w:shd w:fill="F7F7F7"/>
          </w:tcPr>
          <w:p>
            <w:pPr>
              <w:pStyle w:val="TableText"/>
              <w:keepNext w:val="0"/>
              <w:keepLines/>
            </w:pPr>
            <w:r>
              <w:t xml:space="preserve">Trends in gestandaardiseerde </w:t>
            </w:r>
            <w:r>
              <w:rPr>
                <w:b/>
              </w:rPr>
              <w:t>vangstaantallen</w:t>
            </w:r>
            <w:r>
              <w:t xml:space="preserve"> per soort analyseren.</w:t>
            </w:r>
          </w:p>
        </w:tc>
        <w:tc>
          <w:tcPr>
            <w:tcW w:type="dxa" w:w="4139"/>
            <w:vAlign w:val="top"/>
            <w:shd w:fill="F7F7F7"/>
          </w:tcPr>
          <w:p>
            <w:pPr>
              <w:pStyle w:val="TableText"/>
              <w:keepNext w:val="0"/>
              <w:keepLines/>
            </w:pPr>
            <w:r>
              <w:t>Corrigeer voor val- en lamptype, locatie, vangstduur en omstandigheden. Niet-getelde optionele microvlinders mogen niet als nulwaarneming worden behandeld.</w:t>
            </w:r>
            <w:r>
              <w:t xml:space="preserve"> </w:t>
            </w:r>
            <w:hyperlink w:anchor="bron_4" w:history="1">
              <w:r>
                <w:rPr>
                  <w:color w:val="303030"/>
                  <w:vertAlign w:val="superscript"/>
                  <w:sz w:val="17"/>
                </w:rPr>
                <w:t>[4]</w:t>
              </w:r>
            </w:hyperlink>
          </w:p>
        </w:tc>
      </w:tr>
      <w:tr>
        <w:trPr>
          <w:cantSplit/>
        </w:trPr>
        <w:tc>
          <w:tcPr>
            <w:tcW w:type="dxa" w:w="2381"/>
            <w:vAlign w:val="top"/>
          </w:tcPr>
          <w:p>
            <w:pPr>
              <w:pStyle w:val="TableText"/>
              <w:keepNext w:val="0"/>
              <w:keepLines/>
            </w:pPr>
            <w:r>
              <w:rPr>
                <w:b/>
              </w:rPr>
              <w:t>07.201</w:t>
            </w:r>
            <w:r>
              <w:br/>
            </w:r>
            <w:r>
              <w:rPr>
                <w:b/>
              </w:rPr>
              <w:t>Landelijk Meetnet Libellen</w:t>
            </w:r>
          </w:p>
        </w:tc>
        <w:tc>
          <w:tcPr>
            <w:tcW w:type="dxa" w:w="3345"/>
            <w:vAlign w:val="top"/>
          </w:tcPr>
          <w:p>
            <w:pPr>
              <w:pStyle w:val="TableText"/>
              <w:keepNext w:val="0"/>
              <w:keepLines/>
            </w:pPr>
            <w:r>
              <w:t>Relatieve aantalstrends uit herhaalde tellingen langs vaste routes.</w:t>
            </w:r>
          </w:p>
        </w:tc>
        <w:tc>
          <w:tcPr>
            <w:tcW w:type="dxa" w:w="4139"/>
            <w:vAlign w:val="top"/>
          </w:tcPr>
          <w:p>
            <w:pPr>
              <w:pStyle w:val="TableText"/>
              <w:keepNext w:val="0"/>
              <w:keepLines/>
            </w:pPr>
            <w:r>
              <w:t>Houd soortgerichte routes en afwijkende methoden, zoals larvenhuidjestellingen, herkenbaar gescheiden. De telstrook en seizoensdekking moeten vergelijkbaar blijven.</w:t>
            </w:r>
            <w:r>
              <w:t xml:space="preserve"> </w:t>
            </w:r>
            <w:hyperlink w:anchor="bron_5" w:history="1">
              <w:r>
                <w:rPr>
                  <w:color w:val="303030"/>
                  <w:vertAlign w:val="superscript"/>
                  <w:sz w:val="17"/>
                </w:rPr>
                <w:t>[5]</w:t>
              </w:r>
            </w:hyperlink>
          </w:p>
        </w:tc>
      </w:tr>
      <w:tr>
        <w:trPr>
          <w:cantSplit/>
        </w:trPr>
        <w:tc>
          <w:tcPr>
            <w:tcW w:type="dxa" w:w="2381"/>
            <w:vAlign w:val="top"/>
            <w:shd w:fill="F7F7F7"/>
          </w:tcPr>
          <w:p>
            <w:pPr>
              <w:pStyle w:val="TableText"/>
              <w:keepNext w:val="0"/>
              <w:keepLines/>
            </w:pPr>
            <w:r>
              <w:rPr>
                <w:b/>
              </w:rPr>
              <w:t>10.201</w:t>
            </w:r>
            <w:r>
              <w:br/>
            </w:r>
            <w:r>
              <w:rPr>
                <w:b/>
              </w:rPr>
              <w:t>Monitoring van reptielen</w:t>
            </w:r>
          </w:p>
        </w:tc>
        <w:tc>
          <w:tcPr>
            <w:tcW w:type="dxa" w:w="3345"/>
            <w:vAlign w:val="top"/>
            <w:shd w:fill="F7F7F7"/>
          </w:tcPr>
          <w:p>
            <w:pPr>
              <w:pStyle w:val="TableText"/>
              <w:keepNext w:val="0"/>
              <w:keepLines/>
            </w:pPr>
            <w:r>
              <w:t>Relatieve aantalstrends op herhaald onderzochte trajecten.</w:t>
            </w:r>
          </w:p>
        </w:tc>
        <w:tc>
          <w:tcPr>
            <w:tcW w:type="dxa" w:w="4139"/>
            <w:vAlign w:val="top"/>
            <w:shd w:fill="F7F7F7"/>
          </w:tcPr>
          <w:p>
            <w:pPr>
              <w:pStyle w:val="TableText"/>
              <w:keepNext w:val="0"/>
              <w:keepLines/>
            </w:pPr>
            <w:r>
              <w:t>Gebruik de oorspronkelijke bezoeken en telomstandigheden. Veranderde zichtbaarheid of zoekmethode kan de telling beïnvloeden; aantallen gezien zijn niet automatisch absolute dichtheden.</w:t>
            </w:r>
            <w:r>
              <w:t xml:space="preserve"> </w:t>
            </w:r>
            <w:hyperlink w:anchor="bron_6" w:history="1">
              <w:r>
                <w:rPr>
                  <w:color w:val="303030"/>
                  <w:vertAlign w:val="superscript"/>
                  <w:sz w:val="17"/>
                </w:rPr>
                <w:t>[6]</w:t>
              </w:r>
            </w:hyperlink>
            <w:r>
              <w:rPr>
                <w:vertAlign w:val="superscript"/>
              </w:rPr>
              <w:t>,</w:t>
            </w:r>
            <w:hyperlink w:anchor="bron_7" w:history="1">
              <w:r>
                <w:rPr>
                  <w:color w:val="303030"/>
                  <w:vertAlign w:val="superscript"/>
                  <w:sz w:val="17"/>
                </w:rPr>
                <w:t>[7]</w:t>
              </w:r>
            </w:hyperlink>
          </w:p>
        </w:tc>
      </w:tr>
      <w:tr>
        <w:trPr>
          <w:cantSplit/>
        </w:trPr>
        <w:tc>
          <w:tcPr>
            <w:tcW w:type="dxa" w:w="2381"/>
            <w:vAlign w:val="top"/>
          </w:tcPr>
          <w:p>
            <w:pPr>
              <w:pStyle w:val="TableText"/>
              <w:keepNext w:val="0"/>
              <w:keepLines/>
            </w:pPr>
            <w:r>
              <w:rPr>
                <w:b/>
              </w:rPr>
              <w:t>11.201</w:t>
            </w:r>
            <w:r>
              <w:br/>
            </w:r>
            <w:r>
              <w:rPr>
                <w:b/>
              </w:rPr>
              <w:t>Meetnet Bospaddenstoelen</w:t>
            </w:r>
          </w:p>
        </w:tc>
        <w:tc>
          <w:tcPr>
            <w:tcW w:type="dxa" w:w="3345"/>
            <w:vAlign w:val="top"/>
          </w:tcPr>
          <w:p>
            <w:pPr>
              <w:pStyle w:val="TableText"/>
              <w:keepNext w:val="0"/>
              <w:keepLines/>
            </w:pPr>
            <w:r>
              <w:rPr>
                <w:b/>
              </w:rPr>
              <w:t>Historische trends in getelde vruchtlichamen</w:t>
            </w:r>
            <w:r>
              <w:t xml:space="preserve"> op vaste proefvlakken.</w:t>
            </w:r>
          </w:p>
        </w:tc>
        <w:tc>
          <w:tcPr>
            <w:tcW w:type="dxa" w:w="4139"/>
            <w:vAlign w:val="top"/>
          </w:tcPr>
          <w:p>
            <w:pPr>
              <w:pStyle w:val="TableText"/>
              <w:keepNext w:val="0"/>
              <w:keepLines/>
            </w:pPr>
            <w:r>
              <w:t>Dit oude telprotocol eindigde in 2016. Geen trend in schimmelindividuen of biomassa afleiden en niet ongewijzigd aansluiten op het latere verspreidingsonderzoek.</w:t>
            </w:r>
            <w:r>
              <w:t xml:space="preserve"> </w:t>
            </w:r>
            <w:hyperlink w:anchor="bron_8" w:history="1">
              <w:r>
                <w:rPr>
                  <w:color w:val="303030"/>
                  <w:vertAlign w:val="superscript"/>
                  <w:sz w:val="17"/>
                </w:rPr>
                <w:t>[8]</w:t>
              </w:r>
            </w:hyperlink>
            <w:r>
              <w:rPr>
                <w:vertAlign w:val="superscript"/>
              </w:rPr>
              <w:t>,</w:t>
            </w:r>
            <w:hyperlink w:anchor="bron_9" w:history="1">
              <w:r>
                <w:rPr>
                  <w:color w:val="303030"/>
                  <w:vertAlign w:val="superscript"/>
                  <w:sz w:val="17"/>
                </w:rPr>
                <w:t>[9]</w:t>
              </w:r>
            </w:hyperlink>
          </w:p>
        </w:tc>
      </w:tr>
      <w:tr>
        <w:trPr>
          <w:cantSplit/>
        </w:trPr>
        <w:tc>
          <w:tcPr>
            <w:tcW w:type="dxa" w:w="2381"/>
            <w:vAlign w:val="top"/>
            <w:shd w:fill="F7F7F7"/>
          </w:tcPr>
          <w:p>
            <w:pPr>
              <w:pStyle w:val="TableText"/>
              <w:keepNext w:val="0"/>
              <w:keepLines/>
            </w:pPr>
            <w:r>
              <w:rPr>
                <w:b/>
              </w:rPr>
              <w:t>12.211</w:t>
            </w:r>
            <w:r>
              <w:br/>
            </w:r>
            <w:r>
              <w:rPr>
                <w:b/>
              </w:rPr>
              <w:t>Landelijk Meetnet Flora-aandachtssoorten</w:t>
            </w:r>
          </w:p>
        </w:tc>
        <w:tc>
          <w:tcPr>
            <w:tcW w:type="dxa" w:w="3345"/>
            <w:vAlign w:val="top"/>
            <w:shd w:fill="F7F7F7"/>
          </w:tcPr>
          <w:p>
            <w:pPr>
              <w:pStyle w:val="TableText"/>
              <w:keepNext w:val="0"/>
              <w:keepLines/>
            </w:pPr>
            <w:r>
              <w:t>Routegebonden verandering in aantallen of vastgelegde abundantie van aandachtssoorten.</w:t>
            </w:r>
          </w:p>
        </w:tc>
        <w:tc>
          <w:tcPr>
            <w:tcW w:type="dxa" w:w="4139"/>
            <w:vAlign w:val="top"/>
            <w:shd w:fill="F7F7F7"/>
          </w:tcPr>
          <w:p>
            <w:pPr>
              <w:pStyle w:val="TableText"/>
              <w:keepNext w:val="0"/>
              <w:keepLines/>
            </w:pPr>
            <w:r>
              <w:t>Gebruik de oorspronkelijke teleenheid en routegeometrie. In de beschreven Dunea-uitwerking staan de routes in de Verspreidingsatlas en de waarnemingspunten in de NDFF.</w:t>
            </w:r>
            <w:r>
              <w:t xml:space="preserve"> </w:t>
            </w:r>
            <w:hyperlink w:anchor="bron_10" w:history="1">
              <w:r>
                <w:rPr>
                  <w:color w:val="303030"/>
                  <w:vertAlign w:val="superscript"/>
                  <w:sz w:val="17"/>
                </w:rPr>
                <w:t>[10]</w:t>
              </w:r>
            </w:hyperlink>
          </w:p>
        </w:tc>
      </w:tr>
      <w:tr>
        <w:trPr>
          <w:cantSplit/>
        </w:trPr>
        <w:tc>
          <w:tcPr>
            <w:tcW w:type="dxa" w:w="2381"/>
            <w:vAlign w:val="top"/>
          </w:tcPr>
          <w:p>
            <w:pPr>
              <w:pStyle w:val="TableText"/>
              <w:keepNext w:val="0"/>
              <w:keepLines/>
            </w:pPr>
            <w:r>
              <w:rPr>
                <w:b/>
              </w:rPr>
              <w:t>14.204</w:t>
            </w:r>
            <w:r>
              <w:br/>
            </w:r>
            <w:r>
              <w:rPr>
                <w:b/>
              </w:rPr>
              <w:t>Punt Transect Telling</w:t>
            </w:r>
          </w:p>
        </w:tc>
        <w:tc>
          <w:tcPr>
            <w:tcW w:type="dxa" w:w="3345"/>
            <w:vAlign w:val="top"/>
          </w:tcPr>
          <w:p>
            <w:pPr>
              <w:pStyle w:val="TableText"/>
              <w:keepNext w:val="0"/>
              <w:keepLines/>
            </w:pPr>
            <w:r>
              <w:t xml:space="preserve">Relatieve aantalstrends van </w:t>
            </w:r>
            <w:r>
              <w:rPr>
                <w:b/>
              </w:rPr>
              <w:t>wintervogels</w:t>
            </w:r>
            <w:r>
              <w:t xml:space="preserve"> op vaste telpunten.</w:t>
            </w:r>
          </w:p>
        </w:tc>
        <w:tc>
          <w:tcPr>
            <w:tcW w:type="dxa" w:w="4139"/>
            <w:vAlign w:val="top"/>
          </w:tcPr>
          <w:p>
            <w:pPr>
              <w:pStyle w:val="TableText"/>
              <w:keepNext w:val="0"/>
              <w:keepLines/>
            </w:pPr>
            <w:r>
              <w:t>Vaste punten, telduur en winterperiode behouden. Dit is geen broedvogeltrend en geen zelfstandige absolute populatieschatting.</w:t>
            </w:r>
            <w:r>
              <w:t xml:space="preserve"> </w:t>
            </w:r>
            <w:hyperlink w:anchor="bron_11" w:history="1">
              <w:r>
                <w:rPr>
                  <w:color w:val="303030"/>
                  <w:vertAlign w:val="superscript"/>
                  <w:sz w:val="17"/>
                </w:rPr>
                <w:t>[11]</w:t>
              </w:r>
            </w:hyperlink>
          </w:p>
        </w:tc>
      </w:tr>
      <w:tr>
        <w:trPr>
          <w:cantSplit/>
        </w:trPr>
        <w:tc>
          <w:tcPr>
            <w:tcW w:type="dxa" w:w="2381"/>
            <w:vAlign w:val="top"/>
            <w:shd w:fill="F7F7F7"/>
          </w:tcPr>
          <w:p>
            <w:pPr>
              <w:pStyle w:val="TableText"/>
              <w:keepNext w:val="0"/>
              <w:keepLines/>
            </w:pPr>
            <w:r>
              <w:rPr>
                <w:b/>
              </w:rPr>
              <w:t>17.201</w:t>
            </w:r>
            <w:r>
              <w:br/>
            </w:r>
            <w:r>
              <w:rPr>
                <w:b/>
              </w:rPr>
              <w:t>Vleermuizen in de winter</w:t>
            </w:r>
          </w:p>
        </w:tc>
        <w:tc>
          <w:tcPr>
            <w:tcW w:type="dxa" w:w="3345"/>
            <w:vAlign w:val="top"/>
            <w:shd w:fill="F7F7F7"/>
          </w:tcPr>
          <w:p>
            <w:pPr>
              <w:pStyle w:val="TableText"/>
              <w:keepNext w:val="0"/>
              <w:keepLines/>
            </w:pPr>
            <w:r>
              <w:t>Verandering in aantallen overwinteraars in onderzochte winterverblijven.</w:t>
            </w:r>
          </w:p>
        </w:tc>
        <w:tc>
          <w:tcPr>
            <w:tcW w:type="dxa" w:w="4139"/>
            <w:vAlign w:val="top"/>
            <w:shd w:fill="F7F7F7"/>
          </w:tcPr>
          <w:p>
            <w:pPr>
              <w:pStyle w:val="TableText"/>
              <w:keepNext w:val="0"/>
              <w:keepLines/>
            </w:pPr>
            <w:r>
              <w:t>Controleer objectwijzigingen, toegankelijkheid en telvolledigheid. De conclusie betreft de onderzochte verblijven, niet vanzelf alle vleermuizen in het landschap.</w:t>
            </w:r>
            <w:r>
              <w:t xml:space="preserve"> </w:t>
            </w:r>
            <w:hyperlink w:anchor="bron_12" w:history="1">
              <w:r>
                <w:rPr>
                  <w:color w:val="303030"/>
                  <w:vertAlign w:val="superscript"/>
                  <w:sz w:val="17"/>
                </w:rPr>
                <w:t>[12]</w:t>
              </w:r>
            </w:hyperlink>
          </w:p>
        </w:tc>
      </w:tr>
      <w:tr>
        <w:trPr>
          <w:cantSplit/>
        </w:trPr>
        <w:tc>
          <w:tcPr>
            <w:tcW w:type="dxa" w:w="2381"/>
            <w:vAlign w:val="top"/>
          </w:tcPr>
          <w:p>
            <w:pPr>
              <w:pStyle w:val="TableText"/>
              <w:keepNext w:val="0"/>
              <w:keepLines/>
            </w:pPr>
            <w:r>
              <w:rPr>
                <w:b/>
              </w:rPr>
              <w:t>17.202</w:t>
            </w:r>
            <w:r>
              <w:br/>
            </w:r>
            <w:r>
              <w:rPr>
                <w:b/>
              </w:rPr>
              <w:t>Vleermuizen op zolder</w:t>
            </w:r>
          </w:p>
        </w:tc>
        <w:tc>
          <w:tcPr>
            <w:tcW w:type="dxa" w:w="3345"/>
            <w:vAlign w:val="top"/>
          </w:tcPr>
          <w:p>
            <w:pPr>
              <w:pStyle w:val="TableText"/>
              <w:keepNext w:val="0"/>
              <w:keepLines/>
            </w:pPr>
            <w:r>
              <w:t>Aantalstrends van de daarvoor gevolgde doelsoorten in onderzochte verblijfplaatsen.</w:t>
            </w:r>
          </w:p>
        </w:tc>
        <w:tc>
          <w:tcPr>
            <w:tcW w:type="dxa" w:w="4139"/>
            <w:vAlign w:val="top"/>
          </w:tcPr>
          <w:p>
            <w:pPr>
              <w:pStyle w:val="TableText"/>
              <w:keepNext w:val="0"/>
              <w:keepLines/>
            </w:pPr>
            <w:r>
              <w:t>Houd zolders, bezoekperiode en waarneembaarheid vergelijkbaar. Niet iedere incidenteel aangetroffen soort levert een betrouwbare trend.</w:t>
            </w:r>
            <w:r>
              <w:t xml:space="preserve"> </w:t>
            </w:r>
            <w:hyperlink w:anchor="bron_13" w:history="1">
              <w:r>
                <w:rPr>
                  <w:color w:val="303030"/>
                  <w:vertAlign w:val="superscript"/>
                  <w:sz w:val="17"/>
                </w:rPr>
                <w:t>[13]</w:t>
              </w:r>
            </w:hyperlink>
          </w:p>
        </w:tc>
      </w:tr>
      <w:tr>
        <w:trPr>
          <w:cantSplit/>
        </w:trPr>
        <w:tc>
          <w:tcPr>
            <w:tcW w:type="dxa" w:w="2381"/>
            <w:vAlign w:val="top"/>
            <w:shd w:fill="F7F7F7"/>
          </w:tcPr>
          <w:p>
            <w:pPr>
              <w:pStyle w:val="TableText"/>
              <w:keepNext w:val="0"/>
              <w:keepLines/>
            </w:pPr>
            <w:r>
              <w:rPr>
                <w:b/>
              </w:rPr>
              <w:t>17.204</w:t>
            </w:r>
            <w:r>
              <w:br/>
            </w:r>
            <w:r>
              <w:rPr>
                <w:b/>
              </w:rPr>
              <w:t>DAZ-BMP</w:t>
            </w:r>
          </w:p>
        </w:tc>
        <w:tc>
          <w:tcPr>
            <w:tcW w:type="dxa" w:w="3345"/>
            <w:vAlign w:val="top"/>
            <w:shd w:fill="F7F7F7"/>
          </w:tcPr>
          <w:p>
            <w:pPr>
              <w:pStyle w:val="TableText"/>
              <w:keepNext w:val="0"/>
              <w:keepLines/>
            </w:pPr>
            <w:r>
              <w:t>Relatieve aantalstrends van voldoende getelde dagactieve zoogdiersoorten.</w:t>
            </w:r>
          </w:p>
        </w:tc>
        <w:tc>
          <w:tcPr>
            <w:tcW w:type="dxa" w:w="4139"/>
            <w:vAlign w:val="top"/>
            <w:shd w:fill="F7F7F7"/>
          </w:tcPr>
          <w:p>
            <w:pPr>
              <w:pStyle w:val="TableText"/>
              <w:keepNext w:val="0"/>
              <w:keepLines/>
            </w:pPr>
            <w:r>
              <w:t>Gebruik terugkerende BMP-gebieden en bezoeken. Beoordeel geschiktheid per soort; incidentele nevenwaarnemingen blijven hoofdzakelijk voorkomensinformatie.</w:t>
            </w:r>
            <w:r>
              <w:t xml:space="preserve"> </w:t>
            </w:r>
            <w:hyperlink w:anchor="bron_14" w:history="1">
              <w:r>
                <w:rPr>
                  <w:color w:val="303030"/>
                  <w:vertAlign w:val="superscript"/>
                  <w:sz w:val="17"/>
                </w:rPr>
                <w:t>[14]</w:t>
              </w:r>
            </w:hyperlink>
            <w:r>
              <w:rPr>
                <w:vertAlign w:val="superscript"/>
              </w:rPr>
              <w:t>,</w:t>
            </w:r>
            <w:hyperlink w:anchor="bron_2" w:history="1">
              <w:r>
                <w:rPr>
                  <w:color w:val="303030"/>
                  <w:vertAlign w:val="superscript"/>
                  <w:sz w:val="17"/>
                </w:rPr>
                <w:t>[2]</w:t>
              </w:r>
            </w:hyperlink>
          </w:p>
        </w:tc>
      </w:tr>
      <w:tr>
        <w:trPr>
          <w:cantSplit/>
        </w:trPr>
        <w:tc>
          <w:tcPr>
            <w:tcW w:type="dxa" w:w="2381"/>
            <w:vAlign w:val="top"/>
          </w:tcPr>
          <w:p>
            <w:pPr>
              <w:pStyle w:val="TableText"/>
              <w:keepNext w:val="0"/>
              <w:keepLines/>
            </w:pPr>
            <w:r>
              <w:rPr>
                <w:b/>
              </w:rPr>
              <w:t>17.208</w:t>
            </w:r>
            <w:r>
              <w:br/>
            </w:r>
            <w:r>
              <w:rPr>
                <w:b/>
              </w:rPr>
              <w:t>Vleermuistransecttelling</w:t>
            </w:r>
          </w:p>
        </w:tc>
        <w:tc>
          <w:tcPr>
            <w:tcW w:type="dxa" w:w="3345"/>
            <w:vAlign w:val="top"/>
          </w:tcPr>
          <w:p>
            <w:pPr>
              <w:pStyle w:val="TableText"/>
              <w:keepNext w:val="0"/>
              <w:keepLines/>
            </w:pPr>
            <w:r>
              <w:t xml:space="preserve">Trends in een gestandaardiseerde </w:t>
            </w:r>
            <w:r>
              <w:rPr>
                <w:b/>
              </w:rPr>
              <w:t>akoestische activiteits- of abundantie-index</w:t>
            </w:r>
            <w:r>
              <w:t>.</w:t>
            </w:r>
          </w:p>
        </w:tc>
        <w:tc>
          <w:tcPr>
            <w:tcW w:type="dxa" w:w="4139"/>
            <w:vAlign w:val="top"/>
          </w:tcPr>
          <w:p>
            <w:pPr>
              <w:pStyle w:val="TableText"/>
              <w:keepNext w:val="0"/>
              <w:keepLines/>
            </w:pPr>
            <w:r>
              <w:t>Route, snelheid, detectorinstellingen en geluidsverwerking moeten vergelijkbaar zijn. Geluidscontacten zijn geen afzonderlijk herkenbare individuen.</w:t>
            </w:r>
            <w:r>
              <w:t xml:space="preserve"> </w:t>
            </w:r>
            <w:hyperlink w:anchor="bron_15" w:history="1">
              <w:r>
                <w:rPr>
                  <w:color w:val="303030"/>
                  <w:vertAlign w:val="superscript"/>
                  <w:sz w:val="17"/>
                </w:rPr>
                <w:t>[15]</w:t>
              </w:r>
            </w:hyperlink>
          </w:p>
        </w:tc>
      </w:tr>
      <w:tr>
        <w:trPr>
          <w:cantSplit/>
        </w:trPr>
        <w:tc>
          <w:tcPr>
            <w:tcW w:type="dxa" w:w="2381"/>
            <w:vAlign w:val="top"/>
            <w:shd w:fill="F7F7F7"/>
          </w:tcPr>
          <w:p>
            <w:pPr>
              <w:pStyle w:val="TableText"/>
              <w:keepNext w:val="0"/>
              <w:keepLines/>
            </w:pPr>
            <w:r>
              <w:rPr>
                <w:b/>
              </w:rPr>
              <w:t>17.209</w:t>
            </w:r>
            <w:r>
              <w:br/>
            </w:r>
            <w:r>
              <w:rPr>
                <w:b/>
              </w:rPr>
              <w:t>Konijnen in de duinen</w:t>
            </w:r>
          </w:p>
        </w:tc>
        <w:tc>
          <w:tcPr>
            <w:tcW w:type="dxa" w:w="3345"/>
            <w:vAlign w:val="top"/>
            <w:shd w:fill="F7F7F7"/>
          </w:tcPr>
          <w:p>
            <w:pPr>
              <w:pStyle w:val="TableText"/>
              <w:keepNext w:val="0"/>
              <w:keepLines/>
            </w:pPr>
            <w:r>
              <w:t>Relatieve aantalstrends langs de getelde duinroutes.</w:t>
            </w:r>
          </w:p>
        </w:tc>
        <w:tc>
          <w:tcPr>
            <w:tcW w:type="dxa" w:w="4139"/>
            <w:vAlign w:val="top"/>
            <w:shd w:fill="F7F7F7"/>
          </w:tcPr>
          <w:p>
            <w:pPr>
              <w:pStyle w:val="TableText"/>
              <w:keepNext w:val="0"/>
              <w:keepLines/>
            </w:pPr>
            <w:r>
              <w:t>Controleer seizoen, telwijze en zichtbaarheid. Extrapolatie naar het gehele duingebied vereist dat de routes dat gebied voldoende vertegenwoordigen.</w:t>
            </w:r>
            <w:r>
              <w:t xml:space="preserve"> </w:t>
            </w:r>
            <w:hyperlink w:anchor="bron_14" w:history="1">
              <w:r>
                <w:rPr>
                  <w:color w:val="303030"/>
                  <w:vertAlign w:val="superscript"/>
                  <w:sz w:val="17"/>
                </w:rPr>
                <w:t>[14]</w:t>
              </w:r>
            </w:hyperlink>
            <w:r>
              <w:rPr>
                <w:vertAlign w:val="superscript"/>
              </w:rPr>
              <w:t>,</w:t>
            </w:r>
            <w:hyperlink w:anchor="bron_16" w:history="1">
              <w:r>
                <w:rPr>
                  <w:color w:val="303030"/>
                  <w:vertAlign w:val="superscript"/>
                  <w:sz w:val="17"/>
                </w:rPr>
                <w:t>[16]</w:t>
              </w:r>
            </w:hyperlink>
          </w:p>
        </w:tc>
      </w:tr>
      <w:tr>
        <w:trPr>
          <w:cantSplit/>
        </w:trPr>
        <w:tc>
          <w:tcPr>
            <w:tcW w:type="dxa" w:w="2381"/>
            <w:vAlign w:val="top"/>
          </w:tcPr>
          <w:p>
            <w:pPr>
              <w:pStyle w:val="TableText"/>
              <w:keepNext w:val="0"/>
              <w:keepLines/>
            </w:pPr>
            <w:r>
              <w:rPr>
                <w:b/>
              </w:rPr>
              <w:t>17.210</w:t>
            </w:r>
            <w:r>
              <w:br/>
            </w:r>
            <w:r>
              <w:rPr>
                <w:b/>
              </w:rPr>
              <w:t>Uitvliegtellingen meervleermuizen</w:t>
            </w:r>
          </w:p>
        </w:tc>
        <w:tc>
          <w:tcPr>
            <w:tcW w:type="dxa" w:w="3345"/>
            <w:vAlign w:val="top"/>
          </w:tcPr>
          <w:p>
            <w:pPr>
              <w:pStyle w:val="TableText"/>
              <w:keepNext w:val="0"/>
              <w:keepLines/>
            </w:pPr>
            <w:r>
              <w:t>Verandering in groepsgrootte van volwassen vrouwtjes bij onderzochte verblijven.</w:t>
            </w:r>
          </w:p>
        </w:tc>
        <w:tc>
          <w:tcPr>
            <w:tcW w:type="dxa" w:w="4139"/>
            <w:vAlign w:val="top"/>
          </w:tcPr>
          <w:p>
            <w:pPr>
              <w:pStyle w:val="TableText"/>
              <w:keepNext w:val="0"/>
              <w:keepLines/>
            </w:pPr>
            <w:r>
              <w:t>Gebruik volledige, geldige tellingen. De NDFF bevat ook onvolledige tellingen die voor de officiële trend worden uitgesloten.</w:t>
            </w:r>
            <w:r>
              <w:t xml:space="preserve"> </w:t>
            </w:r>
            <w:hyperlink w:anchor="bron_17" w:history="1">
              <w:r>
                <w:rPr>
                  <w:color w:val="303030"/>
                  <w:vertAlign w:val="superscript"/>
                  <w:sz w:val="17"/>
                </w:rPr>
                <w:t>[17]</w:t>
              </w:r>
            </w:hyperlink>
          </w:p>
        </w:tc>
      </w:tr>
    </w:tbl>
    <w:p>
      <w:pPr>
        <w:spacing w:after="20" w:before="0" w:line="60" w:lineRule="exact"/>
      </w:pPr>
      <w:r>
        <w:rPr>
          <w:sz w:val="6"/>
        </w:rPr>
      </w:r>
    </w:p>
    <w:p>
      <w:r>
        <w:rPr>
          <w:b/>
        </w:rPr>
        <w:t>Conclusie voor deze groep:</w:t>
      </w:r>
      <w:r>
        <w:t xml:space="preserve"> geschikt voor aantals- of indextrends, mits de meetreeks en de meeteenheid intact zijn. “Meer registraties in de database” is niet de te analyseren variabele.</w:t>
      </w:r>
    </w:p>
    <w:p>
      <w:pPr>
        <w:pStyle w:val="Heading1"/>
        <w:keepNext/>
        <w:keepLines/>
        <w:pageBreakBefore w:val="0"/>
      </w:pPr>
      <w:r>
        <w:t>2. Verspreidings- en bezettingsmonitoring — TV</w:t>
      </w:r>
    </w:p>
    <w:p>
      <w:pPr>
        <w:keepNext/>
        <w:keepLines/>
      </w:pPr>
      <w:r>
        <w:rPr>
          <w:b/>
        </w:rPr>
        <w:t>Verantwoord gebruik:</w:t>
      </w:r>
      <w:r>
        <w:t xml:space="preserve"> verandering onderzoeken in het voorkomen binnen gedefinieerde locaties, wateren, proefvlakken of kilometerhokken. Dit is iets anders dan verandering in aantallen individuen.</w:t>
      </w:r>
    </w:p>
    <w:p>
      <w:pPr>
        <w:keepNext/>
        <w:keepLines/>
      </w:pPr>
      <w:r>
        <w:t xml:space="preserve">De passende analyse is doorgaans een </w:t>
      </w:r>
      <w:r>
        <w:rPr>
          <w:i/>
        </w:rPr>
        <w:t>bezettingsmodel</w:t>
      </w:r>
      <w:r>
        <w:t>: een model dat werkelijk voorkomen onderscheidt van de kans om een aanwezige soort waar te nemen. Daarvoor zijn herhaalde bezoeken of andere voldoende informatieve gegevens over het waarnemingsproces nodig. Ook geschikte opportunistische gegevens kunnen hiervoor bruikbaar zijn.</w:t>
      </w:r>
      <w:r>
        <w:t xml:space="preserve"> </w:t>
      </w:r>
      <w:hyperlink w:anchor="bron_18" w:history="1">
        <w:r>
          <w:rPr>
            <w:color w:val="303030"/>
            <w:vertAlign w:val="superscript"/>
            <w:sz w:val="17"/>
          </w:rPr>
          <w:t>[18]</w:t>
        </w:r>
      </w:hyperlink>
    </w:p>
    <w:tbl>
      <w:tblPr>
        <w:tblW w:type="auto" w:w="0"/>
        <w:jc w:val="center"/>
        <w:tblLayout w:type="fixed"/>
        <w:tblLook w:firstColumn="1" w:firstRow="1" w:lastColumn="0" w:lastRow="0" w:noHBand="0" w:noVBand="1" w:val="04A0"/>
        <w:tblBorders>
          <w:top w:val="single" w:sz="4" w:color="D3D3D3"/>
          <w:left w:val="single" w:sz="4" w:color="D3D3D3"/>
          <w:bottom w:val="single" w:sz="4" w:color="D3D3D3"/>
          <w:right w:val="single" w:sz="4" w:color="D3D3D3"/>
          <w:insideH w:val="single" w:sz="4" w:color="D3D3D3"/>
          <w:insideV w:val="single" w:sz="4" w:color="D3D3D3"/>
        </w:tblBorders>
        <w:tblCellMar>
          <w:top w:w="85" w:type="dxa"/>
          <w:bottom w:w="85" w:type="dxa"/>
          <w:left w:w="95" w:type="dxa"/>
          <w:right w:w="95" w:type="dxa"/>
        </w:tblCellMar>
      </w:tblPr>
      <w:tblGrid>
        <w:gridCol w:w="2381"/>
        <w:gridCol w:w="3345"/>
        <w:gridCol w:w="4139"/>
      </w:tblGrid>
      <w:tr>
        <w:trPr>
          <w:cantSplit/>
          <w:tblHeader w:val="true"/>
        </w:trPr>
        <w:tc>
          <w:tcPr>
            <w:tcW w:type="dxa" w:w="2381"/>
            <w:vAlign w:val="top"/>
            <w:shd w:fill="E6E6E6"/>
          </w:tcPr>
          <w:p>
            <w:pPr>
              <w:pStyle w:val="TableText"/>
              <w:keepNext/>
            </w:pPr>
            <w:r>
              <w:rPr>
                <w:b/>
              </w:rPr>
              <w:t>Protocol</w:t>
            </w:r>
          </w:p>
        </w:tc>
        <w:tc>
          <w:tcPr>
            <w:tcW w:type="dxa" w:w="3345"/>
            <w:vAlign w:val="top"/>
            <w:shd w:fill="E6E6E6"/>
          </w:tcPr>
          <w:p>
            <w:pPr>
              <w:pStyle w:val="TableText"/>
              <w:keepNext/>
            </w:pPr>
            <w:r>
              <w:rPr>
                <w:b/>
              </w:rPr>
              <w:t>Wetenschappelijk verantwoord gebruik</w:t>
            </w:r>
          </w:p>
        </w:tc>
        <w:tc>
          <w:tcPr>
            <w:tcW w:type="dxa" w:w="4139"/>
            <w:vAlign w:val="top"/>
            <w:shd w:fill="E6E6E6"/>
          </w:tcPr>
          <w:p>
            <w:pPr>
              <w:pStyle w:val="TableText"/>
              <w:keepNext/>
            </w:pPr>
            <w:r>
              <w:rPr>
                <w:b/>
              </w:rPr>
              <w:t>Belangrijkste voorwaarde of begrenzing</w:t>
            </w:r>
          </w:p>
        </w:tc>
      </w:tr>
      <w:tr>
        <w:trPr>
          <w:cantSplit/>
        </w:trPr>
        <w:tc>
          <w:tcPr>
            <w:tcW w:type="dxa" w:w="2381"/>
            <w:vAlign w:val="top"/>
          </w:tcPr>
          <w:p>
            <w:pPr>
              <w:pStyle w:val="TableText"/>
              <w:keepNext w:val="0"/>
              <w:keepLines/>
            </w:pPr>
            <w:r>
              <w:rPr>
                <w:b/>
              </w:rPr>
              <w:t>01.201</w:t>
            </w:r>
            <w:r>
              <w:br/>
            </w:r>
            <w:r>
              <w:rPr>
                <w:b/>
              </w:rPr>
              <w:t>Monitoring van amfibieën</w:t>
            </w:r>
          </w:p>
        </w:tc>
        <w:tc>
          <w:tcPr>
            <w:tcW w:type="dxa" w:w="3345"/>
            <w:vAlign w:val="top"/>
          </w:tcPr>
          <w:p>
            <w:pPr>
              <w:pStyle w:val="TableText"/>
              <w:keepNext w:val="0"/>
              <w:keepLines/>
            </w:pPr>
            <w:r>
              <w:rPr>
                <w:b/>
              </w:rPr>
              <w:t>TV voor verspreidingsgerichte onderdelen; TA voor geschikte telgerichte deelmethoden.</w:t>
            </w:r>
          </w:p>
        </w:tc>
        <w:tc>
          <w:tcPr>
            <w:tcW w:type="dxa" w:w="4139"/>
            <w:vAlign w:val="top"/>
          </w:tcPr>
          <w:p>
            <w:pPr>
              <w:pStyle w:val="TableText"/>
              <w:keepNext w:val="0"/>
              <w:keepLines/>
            </w:pPr>
            <w:r>
              <w:t>Splits naar soort en deelprotocol. Algemene inventarisaties mogen niet zonder meer worden samengevoegd met soortgerichte tellingen. Een telmethode is bovendien nog geen voldoende lange meetreeks.</w:t>
            </w:r>
            <w:r>
              <w:t xml:space="preserve"> </w:t>
            </w:r>
            <w:hyperlink w:anchor="bron_19" w:history="1">
              <w:r>
                <w:rPr>
                  <w:color w:val="303030"/>
                  <w:vertAlign w:val="superscript"/>
                  <w:sz w:val="17"/>
                </w:rPr>
                <w:t>[19]</w:t>
              </w:r>
            </w:hyperlink>
            <w:r>
              <w:rPr>
                <w:vertAlign w:val="superscript"/>
              </w:rPr>
              <w:t>,</w:t>
            </w:r>
            <w:hyperlink w:anchor="bron_16" w:history="1">
              <w:r>
                <w:rPr>
                  <w:color w:val="303030"/>
                  <w:vertAlign w:val="superscript"/>
                  <w:sz w:val="17"/>
                </w:rPr>
                <w:t>[16]</w:t>
              </w:r>
            </w:hyperlink>
          </w:p>
        </w:tc>
      </w:tr>
      <w:tr>
        <w:trPr>
          <w:cantSplit/>
        </w:trPr>
        <w:tc>
          <w:tcPr>
            <w:tcW w:type="dxa" w:w="2381"/>
            <w:vAlign w:val="top"/>
            <w:shd w:fill="F7F7F7"/>
          </w:tcPr>
          <w:p>
            <w:pPr>
              <w:pStyle w:val="TableText"/>
              <w:keepNext w:val="0"/>
              <w:keepLines/>
            </w:pPr>
            <w:r>
              <w:rPr>
                <w:b/>
              </w:rPr>
              <w:t>04.006</w:t>
            </w:r>
            <w:r>
              <w:br/>
            </w:r>
            <w:r>
              <w:rPr>
                <w:b/>
              </w:rPr>
              <w:t>Slakken van de Habitatrichtlijn</w:t>
            </w:r>
          </w:p>
        </w:tc>
        <w:tc>
          <w:tcPr>
            <w:tcW w:type="dxa" w:w="3345"/>
            <w:vAlign w:val="top"/>
            <w:shd w:fill="F7F7F7"/>
          </w:tcPr>
          <w:p>
            <w:pPr>
              <w:pStyle w:val="TableText"/>
              <w:keepNext w:val="0"/>
              <w:keepLines/>
            </w:pPr>
            <w:r>
              <w:t>Verandering in bezetting van locaties en sublocaties. Bij geschikte gestandaardiseerde monstertellingen daarnaast een aantalsindex.</w:t>
            </w:r>
          </w:p>
        </w:tc>
        <w:tc>
          <w:tcPr>
            <w:tcW w:type="dxa" w:w="4139"/>
            <w:vAlign w:val="top"/>
            <w:shd w:fill="F7F7F7"/>
          </w:tcPr>
          <w:p>
            <w:pPr>
              <w:pStyle w:val="TableText"/>
              <w:keepNext w:val="0"/>
              <w:keepLines/>
            </w:pPr>
            <w:r>
              <w:t>Behoud soort, zoekmethode, monsteromvang en herbezoeken. Bezetting en aantallen in strooiselmonsters meten verschillende aspecten.</w:t>
            </w:r>
            <w:r>
              <w:t xml:space="preserve"> </w:t>
            </w:r>
            <w:hyperlink w:anchor="bron_20" w:history="1">
              <w:r>
                <w:rPr>
                  <w:color w:val="303030"/>
                  <w:vertAlign w:val="superscript"/>
                  <w:sz w:val="17"/>
                </w:rPr>
                <w:t>[20]</w:t>
              </w:r>
            </w:hyperlink>
            <w:r>
              <w:rPr>
                <w:vertAlign w:val="superscript"/>
              </w:rPr>
              <w:t>,</w:t>
            </w:r>
            <w:hyperlink w:anchor="bron_16" w:history="1">
              <w:r>
                <w:rPr>
                  <w:color w:val="303030"/>
                  <w:vertAlign w:val="superscript"/>
                  <w:sz w:val="17"/>
                </w:rPr>
                <w:t>[16]</w:t>
              </w:r>
            </w:hyperlink>
          </w:p>
        </w:tc>
      </w:tr>
      <w:tr>
        <w:trPr>
          <w:cantSplit/>
        </w:trPr>
        <w:tc>
          <w:tcPr>
            <w:tcW w:type="dxa" w:w="2381"/>
            <w:vAlign w:val="top"/>
          </w:tcPr>
          <w:p>
            <w:pPr>
              <w:pStyle w:val="TableText"/>
              <w:keepNext w:val="0"/>
              <w:keepLines/>
            </w:pPr>
            <w:r>
              <w:rPr>
                <w:b/>
              </w:rPr>
              <w:t>11.202</w:t>
            </w:r>
            <w:r>
              <w:br/>
            </w:r>
            <w:r>
              <w:rPr>
                <w:b/>
              </w:rPr>
              <w:t>Zeereeppaddenstoelen</w:t>
            </w:r>
          </w:p>
        </w:tc>
        <w:tc>
          <w:tcPr>
            <w:tcW w:type="dxa" w:w="3345"/>
            <w:vAlign w:val="top"/>
          </w:tcPr>
          <w:p>
            <w:pPr>
              <w:pStyle w:val="TableText"/>
              <w:keepNext w:val="0"/>
              <w:keepLines/>
            </w:pPr>
            <w:r>
              <w:t>Verspreidings- en bezettingstrends van doelsoorten.</w:t>
            </w:r>
          </w:p>
        </w:tc>
        <w:tc>
          <w:tcPr>
            <w:tcW w:type="dxa" w:w="4139"/>
            <w:vAlign w:val="top"/>
          </w:tcPr>
          <w:p>
            <w:pPr>
              <w:pStyle w:val="TableText"/>
              <w:keepNext w:val="0"/>
              <w:keepLines/>
            </w:pPr>
            <w:r>
              <w:t>Analyseer kilometerhokken en bezoeklijsten met correctie voor detectie en inventarisatie-inspanning. Geen automatische aantalstrend van vruchtlichamen.</w:t>
            </w:r>
            <w:r>
              <w:t xml:space="preserve"> </w:t>
            </w:r>
            <w:hyperlink w:anchor="bron_21" w:history="1">
              <w:r>
                <w:rPr>
                  <w:color w:val="303030"/>
                  <w:vertAlign w:val="superscript"/>
                  <w:sz w:val="17"/>
                </w:rPr>
                <w:t>[21]</w:t>
              </w:r>
            </w:hyperlink>
            <w:r>
              <w:rPr>
                <w:vertAlign w:val="superscript"/>
              </w:rPr>
              <w:t>,</w:t>
            </w:r>
            <w:hyperlink w:anchor="bron_9" w:history="1">
              <w:r>
                <w:rPr>
                  <w:color w:val="303030"/>
                  <w:vertAlign w:val="superscript"/>
                  <w:sz w:val="17"/>
                </w:rPr>
                <w:t>[9]</w:t>
              </w:r>
            </w:hyperlink>
          </w:p>
        </w:tc>
      </w:tr>
      <w:tr>
        <w:trPr>
          <w:cantSplit/>
        </w:trPr>
        <w:tc>
          <w:tcPr>
            <w:tcW w:type="dxa" w:w="2381"/>
            <w:vAlign w:val="top"/>
            <w:shd w:fill="F7F7F7"/>
          </w:tcPr>
          <w:p>
            <w:pPr>
              <w:pStyle w:val="TableText"/>
              <w:keepNext w:val="0"/>
              <w:keepLines/>
            </w:pPr>
            <w:r>
              <w:rPr>
                <w:b/>
              </w:rPr>
              <w:t>12.204</w:t>
            </w:r>
            <w:r>
              <w:br/>
            </w:r>
            <w:r>
              <w:rPr>
                <w:b/>
              </w:rPr>
              <w:t>Het Nieuwe Strepen</w:t>
            </w:r>
          </w:p>
        </w:tc>
        <w:tc>
          <w:tcPr>
            <w:tcW w:type="dxa" w:w="3345"/>
            <w:vAlign w:val="top"/>
            <w:shd w:fill="F7F7F7"/>
          </w:tcPr>
          <w:p>
            <w:pPr>
              <w:pStyle w:val="TableText"/>
              <w:keepNext w:val="0"/>
              <w:keepLines/>
            </w:pPr>
            <w:r>
              <w:t>Verspreidingstrends van vaatplanten op basis van geselecteerde kilometerhokken en onafhankelijke inventarisaties.</w:t>
            </w:r>
          </w:p>
        </w:tc>
        <w:tc>
          <w:tcPr>
            <w:tcW w:type="dxa" w:w="4139"/>
            <w:vAlign w:val="top"/>
            <w:shd w:fill="F7F7F7"/>
          </w:tcPr>
          <w:p>
            <w:pPr>
              <w:pStyle w:val="TableText"/>
              <w:keepNext w:val="0"/>
              <w:keepLines/>
            </w:pPr>
            <w:r>
              <w:t>Behoud hokselectie, volledige soortenlijsten, onafhankelijkheid van bezoeken en tijdsbesteding. Bezette hokken zijn geen aantallen planten.</w:t>
            </w:r>
            <w:r>
              <w:t xml:space="preserve"> </w:t>
            </w:r>
            <w:hyperlink w:anchor="bron_22" w:history="1">
              <w:r>
                <w:rPr>
                  <w:color w:val="303030"/>
                  <w:vertAlign w:val="superscript"/>
                  <w:sz w:val="17"/>
                </w:rPr>
                <w:t>[22]</w:t>
              </w:r>
            </w:hyperlink>
          </w:p>
        </w:tc>
      </w:tr>
      <w:tr>
        <w:trPr>
          <w:cantSplit/>
        </w:trPr>
        <w:tc>
          <w:tcPr>
            <w:tcW w:type="dxa" w:w="2381"/>
            <w:vAlign w:val="top"/>
          </w:tcPr>
          <w:p>
            <w:pPr>
              <w:pStyle w:val="TableText"/>
              <w:keepNext w:val="0"/>
              <w:keepLines/>
            </w:pPr>
            <w:r>
              <w:rPr>
                <w:b/>
              </w:rPr>
              <w:t>13.201</w:t>
            </w:r>
            <w:r>
              <w:br/>
            </w:r>
            <w:r>
              <w:rPr>
                <w:b/>
              </w:rPr>
              <w:t>Beek- en poldervissen</w:t>
            </w:r>
          </w:p>
        </w:tc>
        <w:tc>
          <w:tcPr>
            <w:tcW w:type="dxa" w:w="3345"/>
            <w:vAlign w:val="top"/>
          </w:tcPr>
          <w:p>
            <w:pPr>
              <w:pStyle w:val="TableText"/>
              <w:keepNext w:val="0"/>
              <w:keepLines/>
            </w:pPr>
            <w:r>
              <w:rPr>
                <w:b/>
              </w:rPr>
              <w:t>Voorwaardelijk TV:</w:t>
            </w:r>
            <w:r>
              <w:t xml:space="preserve"> verspreidingsverandering in geschikte historische meetreeksen.</w:t>
            </w:r>
          </w:p>
        </w:tc>
        <w:tc>
          <w:tcPr>
            <w:tcW w:type="dxa" w:w="4139"/>
            <w:vAlign w:val="top"/>
          </w:tcPr>
          <w:p>
            <w:pPr>
              <w:pStyle w:val="TableText"/>
              <w:keepNext w:val="0"/>
              <w:keepLines/>
            </w:pPr>
            <w:r>
              <w:t xml:space="preserve">Controleer eerst de deelmethode en gegevensherkomst. De openbare NDFF-paginatitel en methodetekst sluiten niet eenduidig aan. Een uniforme methode voor alle records onder deze code: </w:t>
            </w:r>
            <w:r>
              <w:rPr>
                <w:b/>
              </w:rPr>
              <w:t>dit kan ik niet verifiëren</w:t>
            </w:r>
            <w:r>
              <w:t>.</w:t>
            </w:r>
            <w:r>
              <w:t xml:space="preserve"> </w:t>
            </w:r>
            <w:hyperlink w:anchor="bron_23" w:history="1">
              <w:r>
                <w:rPr>
                  <w:color w:val="303030"/>
                  <w:vertAlign w:val="superscript"/>
                  <w:sz w:val="17"/>
                </w:rPr>
                <w:t>[23]</w:t>
              </w:r>
            </w:hyperlink>
            <w:r>
              <w:rPr>
                <w:vertAlign w:val="superscript"/>
              </w:rPr>
              <w:t>,</w:t>
            </w:r>
            <w:hyperlink w:anchor="bron_24" w:history="1">
              <w:r>
                <w:rPr>
                  <w:color w:val="303030"/>
                  <w:vertAlign w:val="superscript"/>
                  <w:sz w:val="17"/>
                </w:rPr>
                <w:t>[24]</w:t>
              </w:r>
            </w:hyperlink>
          </w:p>
        </w:tc>
      </w:tr>
      <w:tr>
        <w:trPr>
          <w:cantSplit/>
        </w:trPr>
        <w:tc>
          <w:tcPr>
            <w:tcW w:type="dxa" w:w="2381"/>
            <w:vAlign w:val="top"/>
            <w:shd w:fill="F7F7F7"/>
          </w:tcPr>
          <w:p>
            <w:pPr>
              <w:pStyle w:val="TableText"/>
              <w:keepNext w:val="0"/>
              <w:keepLines/>
            </w:pPr>
            <w:r>
              <w:rPr>
                <w:b/>
              </w:rPr>
              <w:t>13.202</w:t>
            </w:r>
            <w:r>
              <w:br/>
            </w:r>
            <w:r>
              <w:rPr>
                <w:b/>
              </w:rPr>
              <w:t>Meetnet Natura 2000 amfibieën en vissen</w:t>
            </w:r>
          </w:p>
        </w:tc>
        <w:tc>
          <w:tcPr>
            <w:tcW w:type="dxa" w:w="3345"/>
            <w:vAlign w:val="top"/>
            <w:shd w:fill="F7F7F7"/>
          </w:tcPr>
          <w:p>
            <w:pPr>
              <w:pStyle w:val="TableText"/>
              <w:keepNext w:val="0"/>
              <w:keepLines/>
            </w:pPr>
            <w:r>
              <w:rPr>
                <w:b/>
              </w:rPr>
              <w:t>TV of TA, afhankelijk van soort en bemonsteringsmethode.</w:t>
            </w:r>
          </w:p>
        </w:tc>
        <w:tc>
          <w:tcPr>
            <w:tcW w:type="dxa" w:w="4139"/>
            <w:vAlign w:val="top"/>
            <w:shd w:fill="F7F7F7"/>
          </w:tcPr>
          <w:p>
            <w:pPr>
              <w:pStyle w:val="TableText"/>
              <w:keepNext w:val="0"/>
              <w:keepLines/>
            </w:pPr>
            <w:r>
              <w:t>Analyseer eDNA, visbemonstering en amfibieëntellingen afzonderlijk volgens hun eigen meeteenheid en detectieproces. De verzamelcode rechtvaardigt geen uniforme aantalstrend.</w:t>
            </w:r>
            <w:r>
              <w:t xml:space="preserve"> </w:t>
            </w:r>
            <w:hyperlink w:anchor="bron_25" w:history="1">
              <w:r>
                <w:rPr>
                  <w:color w:val="303030"/>
                  <w:vertAlign w:val="superscript"/>
                  <w:sz w:val="17"/>
                </w:rPr>
                <w:t>[25]</w:t>
              </w:r>
            </w:hyperlink>
            <w:r>
              <w:rPr>
                <w:vertAlign w:val="superscript"/>
              </w:rPr>
              <w:t>,</w:t>
            </w:r>
            <w:hyperlink w:anchor="bron_16" w:history="1">
              <w:r>
                <w:rPr>
                  <w:color w:val="303030"/>
                  <w:vertAlign w:val="superscript"/>
                  <w:sz w:val="17"/>
                </w:rPr>
                <w:t>[16]</w:t>
              </w:r>
            </w:hyperlink>
          </w:p>
        </w:tc>
      </w:tr>
      <w:tr>
        <w:trPr>
          <w:cantSplit/>
        </w:trPr>
        <w:tc>
          <w:tcPr>
            <w:tcW w:type="dxa" w:w="2381"/>
            <w:vAlign w:val="top"/>
          </w:tcPr>
          <w:p>
            <w:pPr>
              <w:pStyle w:val="TableText"/>
              <w:keepNext w:val="0"/>
              <w:keepLines/>
            </w:pPr>
            <w:r>
              <w:rPr>
                <w:b/>
              </w:rPr>
              <w:t>17.002</w:t>
            </w:r>
            <w:r>
              <w:br/>
            </w:r>
            <w:r>
              <w:rPr>
                <w:b/>
              </w:rPr>
              <w:t>Braakbalonderzoek</w:t>
            </w:r>
          </w:p>
        </w:tc>
        <w:tc>
          <w:tcPr>
            <w:tcW w:type="dxa" w:w="3345"/>
            <w:vAlign w:val="top"/>
          </w:tcPr>
          <w:p>
            <w:pPr>
              <w:pStyle w:val="TableText"/>
              <w:keepNext w:val="0"/>
              <w:keepLines/>
            </w:pPr>
            <w:r>
              <w:t>Verspreiding en, binnen de herhaalde NEM-uitwerking, verspreidingsverandering van kleine zoogdieren.</w:t>
            </w:r>
          </w:p>
        </w:tc>
        <w:tc>
          <w:tcPr>
            <w:tcW w:type="dxa" w:w="4139"/>
            <w:vAlign w:val="top"/>
          </w:tcPr>
          <w:p>
            <w:pPr>
              <w:pStyle w:val="TableText"/>
              <w:keepNext w:val="0"/>
              <w:keepLines/>
            </w:pPr>
            <w:r>
              <w:t>Behoud monsteromvang, prooisamenstelling, verzamelperiode en uilenlocatie. Prooiaantallen zijn geen rechtstreekse populatieaantallen; de braakbalvindplaats is niet de exacte vangplaats.</w:t>
            </w:r>
            <w:r>
              <w:t xml:space="preserve"> </w:t>
            </w:r>
            <w:hyperlink w:anchor="bron_26" w:history="1">
              <w:r>
                <w:rPr>
                  <w:color w:val="303030"/>
                  <w:vertAlign w:val="superscript"/>
                  <w:sz w:val="17"/>
                </w:rPr>
                <w:t>[26]</w:t>
              </w:r>
            </w:hyperlink>
            <w:r>
              <w:rPr>
                <w:vertAlign w:val="superscript"/>
              </w:rPr>
              <w:t>,</w:t>
            </w:r>
            <w:hyperlink w:anchor="bron_16" w:history="1">
              <w:r>
                <w:rPr>
                  <w:color w:val="303030"/>
                  <w:vertAlign w:val="superscript"/>
                  <w:sz w:val="17"/>
                </w:rPr>
                <w:t>[16]</w:t>
              </w:r>
            </w:hyperlink>
          </w:p>
        </w:tc>
      </w:tr>
      <w:tr>
        <w:trPr>
          <w:cantSplit/>
        </w:trPr>
        <w:tc>
          <w:tcPr>
            <w:tcW w:type="dxa" w:w="2381"/>
            <w:vAlign w:val="top"/>
            <w:shd w:fill="F7F7F7"/>
          </w:tcPr>
          <w:p>
            <w:pPr>
              <w:pStyle w:val="TableText"/>
              <w:keepNext w:val="0"/>
              <w:keepLines/>
            </w:pPr>
            <w:r>
              <w:rPr>
                <w:b/>
              </w:rPr>
              <w:t>11.204</w:t>
            </w:r>
            <w:r>
              <w:br/>
            </w:r>
            <w:r>
              <w:rPr>
                <w:b/>
              </w:rPr>
              <w:t>Verspreidingsonderzoek bospaddenstoelen</w:t>
            </w:r>
          </w:p>
        </w:tc>
        <w:tc>
          <w:tcPr>
            <w:tcW w:type="dxa" w:w="3345"/>
            <w:vAlign w:val="top"/>
            <w:shd w:fill="F7F7F7"/>
          </w:tcPr>
          <w:p>
            <w:pPr>
              <w:pStyle w:val="TableText"/>
              <w:keepNext w:val="0"/>
              <w:keepLines/>
            </w:pPr>
            <w:r>
              <w:t>Verspreidings- en bezettingstrends van bospaddenstoelen.</w:t>
            </w:r>
          </w:p>
        </w:tc>
        <w:tc>
          <w:tcPr>
            <w:tcW w:type="dxa" w:w="4139"/>
            <w:vAlign w:val="top"/>
            <w:shd w:fill="F7F7F7"/>
          </w:tcPr>
          <w:p>
            <w:pPr>
              <w:pStyle w:val="TableText"/>
              <w:keepNext w:val="0"/>
              <w:keepLines/>
            </w:pPr>
            <w:r>
              <w:t>Gebruik hok- en bezoeklijsten, met detectiecorrectie. Behoud de methodebreuk met het oude vruchtlichaamtelprotocol 11.201.</w:t>
            </w:r>
            <w:r>
              <w:t xml:space="preserve"> </w:t>
            </w:r>
            <w:hyperlink w:anchor="bron_27" w:history="1">
              <w:r>
                <w:rPr>
                  <w:color w:val="303030"/>
                  <w:vertAlign w:val="superscript"/>
                  <w:sz w:val="17"/>
                </w:rPr>
                <w:t>[27]</w:t>
              </w:r>
            </w:hyperlink>
            <w:r>
              <w:rPr>
                <w:vertAlign w:val="superscript"/>
              </w:rPr>
              <w:t>,</w:t>
            </w:r>
            <w:hyperlink w:anchor="bron_9" w:history="1">
              <w:r>
                <w:rPr>
                  <w:color w:val="303030"/>
                  <w:vertAlign w:val="superscript"/>
                  <w:sz w:val="17"/>
                </w:rPr>
                <w:t>[9]</w:t>
              </w:r>
            </w:hyperlink>
          </w:p>
        </w:tc>
      </w:tr>
      <w:tr>
        <w:trPr>
          <w:cantSplit/>
        </w:trPr>
        <w:tc>
          <w:tcPr>
            <w:tcW w:type="dxa" w:w="2381"/>
            <w:vAlign w:val="top"/>
          </w:tcPr>
          <w:p>
            <w:pPr>
              <w:pStyle w:val="TableText"/>
              <w:keepNext w:val="0"/>
              <w:keepLines/>
            </w:pPr>
            <w:r>
              <w:rPr>
                <w:b/>
              </w:rPr>
              <w:t>17.207</w:t>
            </w:r>
            <w:r>
              <w:br/>
            </w:r>
            <w:r>
              <w:rPr>
                <w:b/>
              </w:rPr>
              <w:t>Verspreidingsonderzoek Bever en Otter</w:t>
            </w:r>
          </w:p>
        </w:tc>
        <w:tc>
          <w:tcPr>
            <w:tcW w:type="dxa" w:w="3345"/>
            <w:vAlign w:val="top"/>
          </w:tcPr>
          <w:p>
            <w:pPr>
              <w:pStyle w:val="TableText"/>
              <w:keepNext w:val="0"/>
              <w:keepLines/>
            </w:pPr>
            <w:r>
              <w:rPr>
                <w:b/>
              </w:rPr>
              <w:t>Otter: TV. Bever: voorlopig voorkomen en inventarisatie, geen zonder meer bruikbare verspreidingstrend.</w:t>
            </w:r>
          </w:p>
        </w:tc>
        <w:tc>
          <w:tcPr>
            <w:tcW w:type="dxa" w:w="4139"/>
            <w:vAlign w:val="top"/>
          </w:tcPr>
          <w:p>
            <w:pPr>
              <w:pStyle w:val="TableText"/>
              <w:keepNext w:val="0"/>
              <w:keepLines/>
            </w:pPr>
            <w:r>
              <w:t>Het CBS heeft de bevertrend opgeschort wegens onzekerheid over de datakwaliteit. De twee soorten moeten daarom afzonderlijk worden beoordeeld. Dit corrigeert mijn eerdere, te algemene classificatie als TV.</w:t>
            </w:r>
            <w:r>
              <w:t xml:space="preserve"> </w:t>
            </w:r>
            <w:hyperlink w:anchor="bron_28" w:history="1">
              <w:r>
                <w:rPr>
                  <w:color w:val="303030"/>
                  <w:vertAlign w:val="superscript"/>
                  <w:sz w:val="17"/>
                </w:rPr>
                <w:t>[28]</w:t>
              </w:r>
            </w:hyperlink>
            <w:r>
              <w:rPr>
                <w:vertAlign w:val="superscript"/>
              </w:rPr>
              <w:t>,</w:t>
            </w:r>
            <w:hyperlink w:anchor="bron_16" w:history="1">
              <w:r>
                <w:rPr>
                  <w:color w:val="303030"/>
                  <w:vertAlign w:val="superscript"/>
                  <w:sz w:val="17"/>
                </w:rPr>
                <w:t>[16]</w:t>
              </w:r>
            </w:hyperlink>
          </w:p>
        </w:tc>
      </w:tr>
    </w:tbl>
    <w:p>
      <w:pPr>
        <w:spacing w:after="20" w:before="0" w:line="60" w:lineRule="exact"/>
      </w:pPr>
      <w:r>
        <w:rPr>
          <w:sz w:val="6"/>
        </w:rPr>
      </w:r>
    </w:p>
    <w:p>
      <w:pPr>
        <w:pStyle w:val="Heading1"/>
        <w:keepNext/>
        <w:keepLines/>
        <w:pageBreakBefore w:val="0"/>
      </w:pPr>
      <w:r>
        <w:t>3. Vegetatie- en natuurkwaliteitsmonitoring — TK</w:t>
      </w:r>
    </w:p>
    <w:p>
      <w:pPr>
        <w:keepNext/>
        <w:keepLines/>
      </w:pPr>
      <w:r>
        <w:rPr>
          <w:b/>
        </w:rPr>
        <w:t>Verantwoord gebruik:</w:t>
      </w:r>
      <w:r>
        <w:t xml:space="preserve"> veranderingen onderzoeken in soortensamenstelling, bedekking, abundantieklassen of vooraf gedefinieerde kwaliteitsindicatoren. De analyse vergelijkt herhaalde proefvlakken of overeenkomstige monitoringsronden. Bij een samengestelde kwaliteitsscore moeten ook de criteria en berekeningswijze gelijk blijven.</w:t>
      </w:r>
      <w:r>
        <w:t xml:space="preserve"> </w:t>
      </w:r>
      <w:hyperlink w:anchor="bron_29" w:history="1">
        <w:r>
          <w:rPr>
            <w:color w:val="303030"/>
            <w:vertAlign w:val="superscript"/>
            <w:sz w:val="17"/>
          </w:rPr>
          <w:t>[29]</w:t>
        </w:r>
      </w:hyperlink>
      <w:r>
        <w:rPr>
          <w:vertAlign w:val="superscript"/>
        </w:rPr>
        <w:t>,</w:t>
      </w:r>
      <w:hyperlink w:anchor="bron_30" w:history="1">
        <w:r>
          <w:rPr>
            <w:color w:val="303030"/>
            <w:vertAlign w:val="superscript"/>
            <w:sz w:val="17"/>
          </w:rPr>
          <w:t>[30]</w:t>
        </w:r>
      </w:hyperlink>
    </w:p>
    <w:tbl>
      <w:tblPr>
        <w:tblW w:type="auto" w:w="0"/>
        <w:jc w:val="center"/>
        <w:tblLayout w:type="fixed"/>
        <w:tblLook w:firstColumn="1" w:firstRow="1" w:lastColumn="0" w:lastRow="0" w:noHBand="0" w:noVBand="1" w:val="04A0"/>
        <w:tblBorders>
          <w:top w:val="single" w:sz="4" w:color="D3D3D3"/>
          <w:left w:val="single" w:sz="4" w:color="D3D3D3"/>
          <w:bottom w:val="single" w:sz="4" w:color="D3D3D3"/>
          <w:right w:val="single" w:sz="4" w:color="D3D3D3"/>
          <w:insideH w:val="single" w:sz="4" w:color="D3D3D3"/>
          <w:insideV w:val="single" w:sz="4" w:color="D3D3D3"/>
        </w:tblBorders>
        <w:tblCellMar>
          <w:top w:w="85" w:type="dxa"/>
          <w:bottom w:w="85" w:type="dxa"/>
          <w:left w:w="95" w:type="dxa"/>
          <w:right w:w="95" w:type="dxa"/>
        </w:tblCellMar>
      </w:tblPr>
      <w:tblGrid>
        <w:gridCol w:w="2381"/>
        <w:gridCol w:w="3345"/>
        <w:gridCol w:w="4139"/>
      </w:tblGrid>
      <w:tr>
        <w:trPr>
          <w:cantSplit/>
          <w:tblHeader w:val="true"/>
        </w:trPr>
        <w:tc>
          <w:tcPr>
            <w:tcW w:type="dxa" w:w="2381"/>
            <w:vAlign w:val="top"/>
            <w:shd w:fill="E6E6E6"/>
          </w:tcPr>
          <w:p>
            <w:pPr>
              <w:pStyle w:val="TableText"/>
              <w:keepNext/>
            </w:pPr>
            <w:r>
              <w:rPr>
                <w:b/>
              </w:rPr>
              <w:t>Protocol</w:t>
            </w:r>
          </w:p>
        </w:tc>
        <w:tc>
          <w:tcPr>
            <w:tcW w:type="dxa" w:w="3345"/>
            <w:vAlign w:val="top"/>
            <w:shd w:fill="E6E6E6"/>
          </w:tcPr>
          <w:p>
            <w:pPr>
              <w:pStyle w:val="TableText"/>
              <w:keepNext/>
            </w:pPr>
            <w:r>
              <w:rPr>
                <w:b/>
              </w:rPr>
              <w:t>Wetenschappelijk verantwoord gebruik</w:t>
            </w:r>
          </w:p>
        </w:tc>
        <w:tc>
          <w:tcPr>
            <w:tcW w:type="dxa" w:w="4139"/>
            <w:vAlign w:val="top"/>
            <w:shd w:fill="E6E6E6"/>
          </w:tcPr>
          <w:p>
            <w:pPr>
              <w:pStyle w:val="TableText"/>
              <w:keepNext/>
            </w:pPr>
            <w:r>
              <w:rPr>
                <w:b/>
              </w:rPr>
              <w:t>Belangrijkste voorwaarde of begrenzing</w:t>
            </w:r>
          </w:p>
        </w:tc>
      </w:tr>
      <w:tr>
        <w:trPr>
          <w:cantSplit/>
        </w:trPr>
        <w:tc>
          <w:tcPr>
            <w:tcW w:type="dxa" w:w="2381"/>
            <w:vAlign w:val="top"/>
          </w:tcPr>
          <w:p>
            <w:pPr>
              <w:pStyle w:val="TableText"/>
              <w:keepNext w:val="0"/>
              <w:keepLines/>
            </w:pPr>
            <w:r>
              <w:rPr>
                <w:b/>
              </w:rPr>
              <w:t>02.202</w:t>
            </w:r>
            <w:r>
              <w:br/>
            </w:r>
            <w:r>
              <w:rPr>
                <w:b/>
              </w:rPr>
              <w:t>Korstmossen op steen, heiden en stuifzanden</w:t>
            </w:r>
          </w:p>
        </w:tc>
        <w:tc>
          <w:tcPr>
            <w:tcW w:type="dxa" w:w="3345"/>
            <w:vAlign w:val="top"/>
          </w:tcPr>
          <w:p>
            <w:pPr>
              <w:pStyle w:val="TableText"/>
              <w:keepNext w:val="0"/>
              <w:keepLines/>
            </w:pPr>
            <w:r>
              <w:t>Verandering in voorkomen, bedekking of abundantie op vaste meetlocaties; ook TV mogelijk.</w:t>
            </w:r>
          </w:p>
        </w:tc>
        <w:tc>
          <w:tcPr>
            <w:tcW w:type="dxa" w:w="4139"/>
            <w:vAlign w:val="top"/>
          </w:tcPr>
          <w:p>
            <w:pPr>
              <w:pStyle w:val="TableText"/>
              <w:keepNext w:val="0"/>
              <w:keepLines/>
            </w:pPr>
            <w:r>
              <w:t>Bepaal per deelmeetnet welke variabele daadwerkelijk is gemeten. Geen uniforme aantalstrend over alle onderdelen aannemen.</w:t>
            </w:r>
            <w:r>
              <w:t xml:space="preserve"> </w:t>
            </w:r>
            <w:hyperlink w:anchor="bron_31" w:history="1">
              <w:r>
                <w:rPr>
                  <w:color w:val="303030"/>
                  <w:vertAlign w:val="superscript"/>
                  <w:sz w:val="17"/>
                </w:rPr>
                <w:t>[31]</w:t>
              </w:r>
            </w:hyperlink>
          </w:p>
        </w:tc>
      </w:tr>
      <w:tr>
        <w:trPr>
          <w:cantSplit/>
        </w:trPr>
        <w:tc>
          <w:tcPr>
            <w:tcW w:type="dxa" w:w="2381"/>
            <w:vAlign w:val="top"/>
            <w:shd w:fill="F7F7F7"/>
          </w:tcPr>
          <w:p>
            <w:pPr>
              <w:pStyle w:val="TableText"/>
              <w:keepNext w:val="0"/>
              <w:keepLines/>
            </w:pPr>
            <w:r>
              <w:rPr>
                <w:b/>
              </w:rPr>
              <w:t>02.203</w:t>
            </w:r>
            <w:r>
              <w:br/>
            </w:r>
            <w:r>
              <w:rPr>
                <w:b/>
              </w:rPr>
              <w:t>Provinciale epifytenmeetnetten korstmossen</w:t>
            </w:r>
          </w:p>
        </w:tc>
        <w:tc>
          <w:tcPr>
            <w:tcW w:type="dxa" w:w="3345"/>
            <w:vAlign w:val="top"/>
            <w:shd w:fill="F7F7F7"/>
          </w:tcPr>
          <w:p>
            <w:pPr>
              <w:pStyle w:val="TableText"/>
              <w:keepNext w:val="0"/>
              <w:keepLines/>
            </w:pPr>
            <w:r>
              <w:t>Trends in samenstelling en abundantie van epifyten op onderzochte boomgroepen; afgeleide milieu-indicatoren.</w:t>
            </w:r>
          </w:p>
        </w:tc>
        <w:tc>
          <w:tcPr>
            <w:tcW w:type="dxa" w:w="4139"/>
            <w:vAlign w:val="top"/>
            <w:shd w:fill="F7F7F7"/>
          </w:tcPr>
          <w:p>
            <w:pPr>
              <w:pStyle w:val="TableText"/>
              <w:keepNext w:val="0"/>
              <w:keepLines/>
            </w:pPr>
            <w:r>
              <w:t>Houd rekening met boomsoort, substraat, boomvervanging en meetmethode. Een ecologische indicatorscore is geen directe meting van stikstofdepositie.</w:t>
            </w:r>
            <w:r>
              <w:t xml:space="preserve"> </w:t>
            </w:r>
            <w:hyperlink w:anchor="bron_32" w:history="1">
              <w:r>
                <w:rPr>
                  <w:color w:val="303030"/>
                  <w:vertAlign w:val="superscript"/>
                  <w:sz w:val="17"/>
                </w:rPr>
                <w:t>[32]</w:t>
              </w:r>
            </w:hyperlink>
          </w:p>
        </w:tc>
      </w:tr>
      <w:tr>
        <w:trPr>
          <w:cantSplit/>
        </w:trPr>
        <w:tc>
          <w:tcPr>
            <w:tcW w:type="dxa" w:w="2381"/>
            <w:vAlign w:val="top"/>
          </w:tcPr>
          <w:p>
            <w:pPr>
              <w:pStyle w:val="TableText"/>
              <w:keepNext w:val="0"/>
              <w:keepLines/>
            </w:pPr>
            <w:r>
              <w:rPr>
                <w:b/>
              </w:rPr>
              <w:t>12.202</w:t>
            </w:r>
            <w:r>
              <w:br/>
            </w:r>
            <w:r>
              <w:rPr>
                <w:b/>
              </w:rPr>
              <w:t>Landelijk Meetnet Flora – Milieu- en Natuurkwaliteit</w:t>
            </w:r>
          </w:p>
        </w:tc>
        <w:tc>
          <w:tcPr>
            <w:tcW w:type="dxa" w:w="3345"/>
            <w:vAlign w:val="top"/>
          </w:tcPr>
          <w:p>
            <w:pPr>
              <w:pStyle w:val="TableText"/>
              <w:keepNext w:val="0"/>
              <w:keepLines/>
            </w:pPr>
            <w:r>
              <w:t>Trends in vegetatiesamenstelling, bedekking en afgeleide indicatoren op permanente proefvlakken.</w:t>
            </w:r>
          </w:p>
        </w:tc>
        <w:tc>
          <w:tcPr>
            <w:tcW w:type="dxa" w:w="4139"/>
            <w:vAlign w:val="top"/>
          </w:tcPr>
          <w:p>
            <w:pPr>
              <w:pStyle w:val="TableText"/>
              <w:keepNext w:val="0"/>
              <w:keepLines/>
            </w:pPr>
            <w:r>
              <w:t>Behoud proefvlakidentiteit, bedekkingsschaal en herhaalronden. Indicatorverandering kan een milieusignaal zijn, maar bewijst niet zelfstandig welke factor de oorzaak is.</w:t>
            </w:r>
            <w:r>
              <w:t xml:space="preserve"> </w:t>
            </w:r>
            <w:hyperlink w:anchor="bron_29" w:history="1">
              <w:r>
                <w:rPr>
                  <w:color w:val="303030"/>
                  <w:vertAlign w:val="superscript"/>
                  <w:sz w:val="17"/>
                </w:rPr>
                <w:t>[29]</w:t>
              </w:r>
            </w:hyperlink>
          </w:p>
        </w:tc>
      </w:tr>
      <w:tr>
        <w:trPr>
          <w:cantSplit/>
        </w:trPr>
        <w:tc>
          <w:tcPr>
            <w:tcW w:type="dxa" w:w="2381"/>
            <w:vAlign w:val="top"/>
            <w:shd w:fill="F7F7F7"/>
          </w:tcPr>
          <w:p>
            <w:pPr>
              <w:pStyle w:val="TableText"/>
              <w:keepNext w:val="0"/>
              <w:keepLines/>
            </w:pPr>
            <w:r>
              <w:rPr>
                <w:b/>
              </w:rPr>
              <w:t>12.205</w:t>
            </w:r>
            <w:r>
              <w:br/>
            </w:r>
            <w:r>
              <w:rPr>
                <w:b/>
              </w:rPr>
              <w:t>Monitoring natuurkwaliteit EHS–N2000 / SNL-2014</w:t>
            </w:r>
          </w:p>
        </w:tc>
        <w:tc>
          <w:tcPr>
            <w:tcW w:type="dxa" w:w="3345"/>
            <w:vAlign w:val="top"/>
            <w:shd w:fill="F7F7F7"/>
          </w:tcPr>
          <w:p>
            <w:pPr>
              <w:pStyle w:val="TableText"/>
              <w:keepNext w:val="0"/>
              <w:keepLines/>
            </w:pPr>
            <w:r>
              <w:t>Toestand en verandering van vastgelegde natuurkwaliteitsindicatoren per beheertype.</w:t>
            </w:r>
          </w:p>
        </w:tc>
        <w:tc>
          <w:tcPr>
            <w:tcW w:type="dxa" w:w="4139"/>
            <w:vAlign w:val="top"/>
            <w:shd w:fill="F7F7F7"/>
          </w:tcPr>
          <w:p>
            <w:pPr>
              <w:pStyle w:val="TableText"/>
              <w:keepNext w:val="0"/>
              <w:keepLines/>
            </w:pPr>
            <w:r>
              <w:rPr>
                <w:b/>
              </w:rPr>
              <w:t>TK alleen bij vergelijkbare, complete monitoringsronden; anders I.</w:t>
            </w:r>
            <w:r>
              <w:t xml:space="preserve"> Harmoniseer gebiedsgrenzen, beheertypen, doelsoorten en protocolversies. Soortpunten alleen vormen geen volledige kwaliteitsbeoordeling.</w:t>
            </w:r>
            <w:r>
              <w:t xml:space="preserve"> </w:t>
            </w:r>
            <w:hyperlink w:anchor="bron_33" w:history="1">
              <w:r>
                <w:rPr>
                  <w:color w:val="303030"/>
                  <w:vertAlign w:val="superscript"/>
                  <w:sz w:val="17"/>
                </w:rPr>
                <w:t>[33]</w:t>
              </w:r>
            </w:hyperlink>
            <w:r>
              <w:rPr>
                <w:vertAlign w:val="superscript"/>
              </w:rPr>
              <w:t>,</w:t>
            </w:r>
            <w:hyperlink w:anchor="bron_30" w:history="1">
              <w:r>
                <w:rPr>
                  <w:color w:val="303030"/>
                  <w:vertAlign w:val="superscript"/>
                  <w:sz w:val="17"/>
                </w:rPr>
                <w:t>[30]</w:t>
              </w:r>
            </w:hyperlink>
          </w:p>
        </w:tc>
      </w:tr>
    </w:tbl>
    <w:p>
      <w:pPr>
        <w:spacing w:after="20" w:before="0" w:line="60" w:lineRule="exact"/>
      </w:pPr>
      <w:r>
        <w:rPr>
          <w:sz w:val="6"/>
        </w:rPr>
      </w:r>
    </w:p>
    <w:p>
      <w:r>
        <w:rPr>
          <w:b/>
        </w:rPr>
        <w:t>Conclusie voor deze groep:</w:t>
      </w:r>
      <w:r>
        <w:t xml:space="preserve"> geschikt om ecologische toestand en verandering te beschrijven. Een kwaliteitsindicator is niet vanzelf een populatiemaat, een directe milieumeting of een bewezen beheereffect.</w:t>
      </w:r>
    </w:p>
    <w:p>
      <w:pPr>
        <w:pStyle w:val="Heading1"/>
        <w:keepNext/>
        <w:keepLines/>
        <w:pageBreakBefore w:val="0"/>
      </w:pPr>
      <w:r>
        <w:t>4. Gestructureerde inventarisatie en toestandsbeschrijving — I</w:t>
      </w:r>
    </w:p>
    <w:p>
      <w:pPr>
        <w:keepNext/>
        <w:keepLines/>
      </w:pPr>
      <w:r>
        <w:rPr>
          <w:b/>
        </w:rPr>
        <w:t>Verantwoord gebruik:</w:t>
      </w:r>
      <w:r>
        <w:t xml:space="preserve"> vaststellen welke soorten, hoeveelheden, vegetaties of gebiedsfuncties tijdens een gedocumenteerd onderzoek zijn aangetroffen. Deze gegevens bevatten meer onderzoekscontext dan een losse vindplaats, maar de code garandeert nog geen vergelijkbare meerjarige meetreeks.</w:t>
      </w:r>
    </w:p>
    <w:p>
      <w:pPr>
        <w:keepNext/>
        <w:keepLines/>
      </w:pPr>
      <w:r>
        <w:t xml:space="preserve">Onderstaande uitbreidingen naar TV, TA of TK zijn </w:t>
      </w:r>
      <w:r>
        <w:rPr>
          <w:b/>
        </w:rPr>
        <w:t>voorwaardelijke toepassingen</w:t>
      </w:r>
      <w:r>
        <w:t>, geen verklaring dat iedere dataset onder die code al trendgeschikt is.</w:t>
      </w:r>
    </w:p>
    <w:tbl>
      <w:tblPr>
        <w:tblW w:type="auto" w:w="0"/>
        <w:jc w:val="center"/>
        <w:tblLayout w:type="fixed"/>
        <w:tblLook w:firstColumn="1" w:firstRow="1" w:lastColumn="0" w:lastRow="0" w:noHBand="0" w:noVBand="1" w:val="04A0"/>
        <w:tblBorders>
          <w:top w:val="single" w:sz="4" w:color="D3D3D3"/>
          <w:left w:val="single" w:sz="4" w:color="D3D3D3"/>
          <w:bottom w:val="single" w:sz="4" w:color="D3D3D3"/>
          <w:right w:val="single" w:sz="4" w:color="D3D3D3"/>
          <w:insideH w:val="single" w:sz="4" w:color="D3D3D3"/>
          <w:insideV w:val="single" w:sz="4" w:color="D3D3D3"/>
        </w:tblBorders>
        <w:tblCellMar>
          <w:top w:w="85" w:type="dxa"/>
          <w:bottom w:w="85" w:type="dxa"/>
          <w:left w:w="95" w:type="dxa"/>
          <w:right w:w="95" w:type="dxa"/>
        </w:tblCellMar>
      </w:tblPr>
      <w:tblGrid>
        <w:gridCol w:w="2381"/>
        <w:gridCol w:w="3345"/>
        <w:gridCol w:w="4139"/>
      </w:tblGrid>
      <w:tr>
        <w:trPr>
          <w:cantSplit/>
          <w:tblHeader w:val="true"/>
        </w:trPr>
        <w:tc>
          <w:tcPr>
            <w:tcW w:type="dxa" w:w="2381"/>
            <w:vAlign w:val="top"/>
            <w:shd w:fill="E6E6E6"/>
          </w:tcPr>
          <w:p>
            <w:pPr>
              <w:pStyle w:val="TableText"/>
              <w:keepNext/>
            </w:pPr>
            <w:r>
              <w:rPr>
                <w:b/>
              </w:rPr>
              <w:t>Protocol</w:t>
            </w:r>
          </w:p>
        </w:tc>
        <w:tc>
          <w:tcPr>
            <w:tcW w:type="dxa" w:w="3345"/>
            <w:vAlign w:val="top"/>
            <w:shd w:fill="E6E6E6"/>
          </w:tcPr>
          <w:p>
            <w:pPr>
              <w:pStyle w:val="TableText"/>
              <w:keepNext/>
            </w:pPr>
            <w:r>
              <w:rPr>
                <w:b/>
              </w:rPr>
              <w:t>Wetenschappelijk verantwoord gebruik</w:t>
            </w:r>
          </w:p>
        </w:tc>
        <w:tc>
          <w:tcPr>
            <w:tcW w:type="dxa" w:w="4139"/>
            <w:vAlign w:val="top"/>
            <w:shd w:fill="E6E6E6"/>
          </w:tcPr>
          <w:p>
            <w:pPr>
              <w:pStyle w:val="TableText"/>
              <w:keepNext/>
            </w:pPr>
            <w:r>
              <w:rPr>
                <w:b/>
              </w:rPr>
              <w:t>Wanneer is trendgebruik verantwoord?</w:t>
            </w:r>
          </w:p>
        </w:tc>
      </w:tr>
      <w:tr>
        <w:trPr>
          <w:cantSplit/>
        </w:trPr>
        <w:tc>
          <w:tcPr>
            <w:tcW w:type="dxa" w:w="2381"/>
            <w:vAlign w:val="top"/>
          </w:tcPr>
          <w:p>
            <w:pPr>
              <w:pStyle w:val="TableText"/>
              <w:keepNext w:val="0"/>
              <w:keepLines/>
            </w:pPr>
            <w:r>
              <w:rPr>
                <w:b/>
              </w:rPr>
              <w:t>02.204</w:t>
            </w:r>
            <w:r>
              <w:br/>
            </w:r>
            <w:r>
              <w:rPr>
                <w:b/>
              </w:rPr>
              <w:t>Meetnet mossen</w:t>
            </w:r>
          </w:p>
        </w:tc>
        <w:tc>
          <w:tcPr>
            <w:tcW w:type="dxa" w:w="3345"/>
            <w:vAlign w:val="top"/>
          </w:tcPr>
          <w:p>
            <w:pPr>
              <w:pStyle w:val="TableText"/>
              <w:keepNext w:val="0"/>
              <w:keepLines/>
            </w:pPr>
            <w:r>
              <w:t>Verspreiding, relatieve zeldzaamheid en vastgelegde abundantieklassen in geïnventariseerde kilometerhokken.</w:t>
            </w:r>
          </w:p>
        </w:tc>
        <w:tc>
          <w:tcPr>
            <w:tcW w:type="dxa" w:w="4139"/>
            <w:vAlign w:val="top"/>
          </w:tcPr>
          <w:p>
            <w:pPr>
              <w:pStyle w:val="TableText"/>
              <w:keepNext w:val="0"/>
              <w:keepLines/>
            </w:pPr>
            <w:r>
              <w:t xml:space="preserve">TV bij aantoonbaar vergelijkbare herinventarisaties, met behoud van selectie, tijdsbesteding en volledigheid. Ik scherp mijn eerdere TV-label daarom aan tot </w:t>
            </w:r>
            <w:r>
              <w:rPr>
                <w:b/>
              </w:rPr>
              <w:t>I → TV</w:t>
            </w:r>
            <w:r>
              <w:t>: de steekproefopzet is beschreven, maar een bruikbare tijdreeks moet afzonderlijk worden vastgesteld.</w:t>
            </w:r>
            <w:r>
              <w:t xml:space="preserve"> </w:t>
            </w:r>
            <w:hyperlink w:anchor="bron_34" w:history="1">
              <w:r>
                <w:rPr>
                  <w:color w:val="303030"/>
                  <w:vertAlign w:val="superscript"/>
                  <w:sz w:val="17"/>
                </w:rPr>
                <w:t>[34]</w:t>
              </w:r>
            </w:hyperlink>
            <w:r>
              <w:rPr>
                <w:vertAlign w:val="superscript"/>
              </w:rPr>
              <w:t>,</w:t>
            </w:r>
            <w:hyperlink w:anchor="bron_35" w:history="1">
              <w:r>
                <w:rPr>
                  <w:color w:val="303030"/>
                  <w:vertAlign w:val="superscript"/>
                  <w:sz w:val="17"/>
                </w:rPr>
                <w:t>[35]</w:t>
              </w:r>
            </w:hyperlink>
            <w:r>
              <w:rPr>
                <w:vertAlign w:val="superscript"/>
              </w:rPr>
              <w:t>,</w:t>
            </w:r>
            <w:hyperlink w:anchor="bron_36" w:history="1">
              <w:r>
                <w:rPr>
                  <w:color w:val="303030"/>
                  <w:vertAlign w:val="superscript"/>
                  <w:sz w:val="17"/>
                </w:rPr>
                <w:t>[36]</w:t>
              </w:r>
            </w:hyperlink>
          </w:p>
        </w:tc>
      </w:tr>
      <w:tr>
        <w:trPr>
          <w:cantSplit/>
        </w:trPr>
        <w:tc>
          <w:tcPr>
            <w:tcW w:type="dxa" w:w="2381"/>
            <w:vAlign w:val="top"/>
            <w:shd w:fill="F7F7F7"/>
          </w:tcPr>
          <w:p>
            <w:pPr>
              <w:pStyle w:val="TableText"/>
              <w:keepNext w:val="0"/>
              <w:keepLines/>
            </w:pPr>
            <w:r>
              <w:rPr>
                <w:b/>
              </w:rPr>
              <w:t>10.002</w:t>
            </w:r>
            <w:r>
              <w:br/>
            </w:r>
            <w:r>
              <w:rPr>
                <w:b/>
              </w:rPr>
              <w:t>Environmental DNA-onderzoek</w:t>
            </w:r>
          </w:p>
        </w:tc>
        <w:tc>
          <w:tcPr>
            <w:tcW w:type="dxa" w:w="3345"/>
            <w:vAlign w:val="top"/>
            <w:shd w:fill="F7F7F7"/>
          </w:tcPr>
          <w:p>
            <w:pPr>
              <w:pStyle w:val="TableText"/>
              <w:keepNext w:val="0"/>
              <w:keepLines/>
            </w:pPr>
            <w:r>
              <w:t>Aantonen van soortspecifiek DNA in een monster en een onderbouwde conclusie over voorkomen.</w:t>
            </w:r>
          </w:p>
        </w:tc>
        <w:tc>
          <w:tcPr>
            <w:tcW w:type="dxa" w:w="4139"/>
            <w:vAlign w:val="top"/>
            <w:shd w:fill="F7F7F7"/>
          </w:tcPr>
          <w:p>
            <w:pPr>
              <w:pStyle w:val="TableText"/>
              <w:keepNext w:val="0"/>
              <w:keepLines/>
            </w:pPr>
            <w:r>
              <w:t>TV bij herhaalde, vergelijkbare bemonstering met veld- en laboratoriumcontroles. DNA-concentratie of aantallen reads niet zonder validatie omrekenen naar aantallen dieren.</w:t>
            </w:r>
            <w:r>
              <w:t xml:space="preserve"> </w:t>
            </w:r>
            <w:hyperlink w:anchor="bron_37" w:history="1">
              <w:r>
                <w:rPr>
                  <w:color w:val="303030"/>
                  <w:vertAlign w:val="superscript"/>
                  <w:sz w:val="17"/>
                </w:rPr>
                <w:t>[37]</w:t>
              </w:r>
            </w:hyperlink>
            <w:r>
              <w:rPr>
                <w:vertAlign w:val="superscript"/>
              </w:rPr>
              <w:t>,</w:t>
            </w:r>
            <w:hyperlink w:anchor="bron_38" w:history="1">
              <w:r>
                <w:rPr>
                  <w:color w:val="303030"/>
                  <w:vertAlign w:val="superscript"/>
                  <w:sz w:val="17"/>
                </w:rPr>
                <w:t>[38]</w:t>
              </w:r>
            </w:hyperlink>
          </w:p>
        </w:tc>
      </w:tr>
      <w:tr>
        <w:trPr>
          <w:cantSplit/>
        </w:trPr>
        <w:tc>
          <w:tcPr>
            <w:tcW w:type="dxa" w:w="2381"/>
            <w:vAlign w:val="top"/>
          </w:tcPr>
          <w:p>
            <w:pPr>
              <w:pStyle w:val="TableText"/>
              <w:keepNext w:val="0"/>
              <w:keepLines/>
            </w:pPr>
            <w:r>
              <w:rPr>
                <w:b/>
              </w:rPr>
              <w:t>102.002</w:t>
            </w:r>
            <w:r>
              <w:br/>
            </w:r>
            <w:r>
              <w:rPr>
                <w:b/>
              </w:rPr>
              <w:t>Jaarrond Tuintelling</w:t>
            </w:r>
          </w:p>
        </w:tc>
        <w:tc>
          <w:tcPr>
            <w:tcW w:type="dxa" w:w="3345"/>
            <w:vAlign w:val="top"/>
          </w:tcPr>
          <w:p>
            <w:pPr>
              <w:pStyle w:val="TableText"/>
              <w:keepNext w:val="0"/>
              <w:keepLines/>
            </w:pPr>
            <w:r>
              <w:t>Voorkomen, seizoenspatronen en telresultaten in deelnemende tuinen.</w:t>
            </w:r>
          </w:p>
        </w:tc>
        <w:tc>
          <w:tcPr>
            <w:tcW w:type="dxa" w:w="4139"/>
            <w:vAlign w:val="top"/>
          </w:tcPr>
          <w:p>
            <w:pPr>
              <w:pStyle w:val="TableText"/>
              <w:keepNext w:val="0"/>
              <w:keepLines/>
            </w:pPr>
            <w:r>
              <w:t>TV/TA met herhaalde tuinbezoeken en correctie voor inspanning en deelnemersselectie. Weekmaxima en tijdtellingen afzonderlijk behandelen.</w:t>
            </w:r>
            <w:r>
              <w:t xml:space="preserve"> </w:t>
            </w:r>
            <w:hyperlink w:anchor="bron_39" w:history="1">
              <w:r>
                <w:rPr>
                  <w:color w:val="303030"/>
                  <w:vertAlign w:val="superscript"/>
                  <w:sz w:val="17"/>
                </w:rPr>
                <w:t>[39]</w:t>
              </w:r>
            </w:hyperlink>
          </w:p>
        </w:tc>
      </w:tr>
      <w:tr>
        <w:trPr>
          <w:cantSplit/>
        </w:trPr>
        <w:tc>
          <w:tcPr>
            <w:tcW w:type="dxa" w:w="2381"/>
            <w:vAlign w:val="top"/>
            <w:shd w:fill="F7F7F7"/>
          </w:tcPr>
          <w:p>
            <w:pPr>
              <w:pStyle w:val="TableText"/>
              <w:keepNext w:val="0"/>
              <w:keepLines/>
            </w:pPr>
            <w:r>
              <w:rPr>
                <w:b/>
              </w:rPr>
              <w:t>12.001</w:t>
            </w:r>
            <w:r>
              <w:br/>
            </w:r>
            <w:r>
              <w:rPr>
                <w:b/>
              </w:rPr>
              <w:t>Streeplijsten kilometerhokken vaatplanten</w:t>
            </w:r>
          </w:p>
        </w:tc>
        <w:tc>
          <w:tcPr>
            <w:tcW w:type="dxa" w:w="3345"/>
            <w:vAlign w:val="top"/>
            <w:shd w:fill="F7F7F7"/>
          </w:tcPr>
          <w:p>
            <w:pPr>
              <w:pStyle w:val="TableText"/>
              <w:keepNext w:val="0"/>
              <w:keepLines/>
            </w:pPr>
            <w:r>
              <w:t>Soortensamenstelling en waargenomen soortenrijkdom van geïnventariseerde hokken.</w:t>
            </w:r>
          </w:p>
        </w:tc>
        <w:tc>
          <w:tcPr>
            <w:tcW w:type="dxa" w:w="4139"/>
            <w:vAlign w:val="top"/>
            <w:shd w:fill="F7F7F7"/>
          </w:tcPr>
          <w:p>
            <w:pPr>
              <w:pStyle w:val="TableText"/>
              <w:keepNext w:val="0"/>
              <w:keepLines/>
            </w:pPr>
            <w:r>
              <w:t>TV na controle van herhaling, lijstvolledigheid, zoekinspanning en taxonomie. Verschillen in lijstlengte zijn niet vanzelf ecologische veranderingen.</w:t>
            </w:r>
            <w:r>
              <w:t xml:space="preserve"> </w:t>
            </w:r>
            <w:hyperlink w:anchor="bron_40" w:history="1">
              <w:r>
                <w:rPr>
                  <w:color w:val="303030"/>
                  <w:vertAlign w:val="superscript"/>
                  <w:sz w:val="17"/>
                </w:rPr>
                <w:t>[40]</w:t>
              </w:r>
            </w:hyperlink>
            <w:r>
              <w:rPr>
                <w:vertAlign w:val="superscript"/>
              </w:rPr>
              <w:t>,</w:t>
            </w:r>
            <w:hyperlink w:anchor="bron_18" w:history="1">
              <w:r>
                <w:rPr>
                  <w:color w:val="303030"/>
                  <w:vertAlign w:val="superscript"/>
                  <w:sz w:val="17"/>
                </w:rPr>
                <w:t>[18]</w:t>
              </w:r>
            </w:hyperlink>
          </w:p>
        </w:tc>
      </w:tr>
      <w:tr>
        <w:trPr>
          <w:cantSplit/>
        </w:trPr>
        <w:tc>
          <w:tcPr>
            <w:tcW w:type="dxa" w:w="2381"/>
            <w:vAlign w:val="top"/>
          </w:tcPr>
          <w:p>
            <w:pPr>
              <w:pStyle w:val="TableText"/>
              <w:keepNext w:val="0"/>
              <w:keepLines/>
            </w:pPr>
            <w:r>
              <w:rPr>
                <w:b/>
              </w:rPr>
              <w:t>12.002</w:t>
            </w:r>
            <w:r>
              <w:br/>
            </w:r>
            <w:r>
              <w:rPr>
                <w:b/>
              </w:rPr>
              <w:t>Bedreigde Soorten Project FLORON</w:t>
            </w:r>
          </w:p>
        </w:tc>
        <w:tc>
          <w:tcPr>
            <w:tcW w:type="dxa" w:w="3345"/>
            <w:vAlign w:val="top"/>
          </w:tcPr>
          <w:p>
            <w:pPr>
              <w:pStyle w:val="TableText"/>
              <w:keepNext w:val="0"/>
              <w:keepLines/>
            </w:pPr>
            <w:r>
              <w:t>Status, omvang en bedreigingen van onderzochte groeiplaatsen.</w:t>
            </w:r>
          </w:p>
        </w:tc>
        <w:tc>
          <w:tcPr>
            <w:tcW w:type="dxa" w:w="4139"/>
            <w:vAlign w:val="top"/>
          </w:tcPr>
          <w:p>
            <w:pPr>
              <w:pStyle w:val="TableText"/>
              <w:keepNext w:val="0"/>
              <w:keepLines/>
            </w:pPr>
            <w:r>
              <w:t>TV/TA bij vergelijkbare groeiplaatsherbezoeken, inclusief locaties waar de soort niet wordt teruggevonden. De gerichte selectie van zeldzame groeiplaatsen begrenst generalisatie.</w:t>
            </w:r>
            <w:r>
              <w:t xml:space="preserve"> </w:t>
            </w:r>
            <w:hyperlink w:anchor="bron_41" w:history="1">
              <w:r>
                <w:rPr>
                  <w:color w:val="303030"/>
                  <w:vertAlign w:val="superscript"/>
                  <w:sz w:val="17"/>
                </w:rPr>
                <w:t>[41]</w:t>
              </w:r>
            </w:hyperlink>
          </w:p>
        </w:tc>
      </w:tr>
      <w:tr>
        <w:trPr>
          <w:cantSplit/>
        </w:trPr>
        <w:tc>
          <w:tcPr>
            <w:tcW w:type="dxa" w:w="2381"/>
            <w:vAlign w:val="top"/>
            <w:shd w:fill="F7F7F7"/>
          </w:tcPr>
          <w:p>
            <w:pPr>
              <w:pStyle w:val="TableText"/>
              <w:keepNext w:val="0"/>
              <w:keepLines/>
            </w:pPr>
            <w:r>
              <w:rPr>
                <w:b/>
              </w:rPr>
              <w:t>12.003</w:t>
            </w:r>
            <w:r>
              <w:br/>
            </w:r>
            <w:r>
              <w:rPr>
                <w:b/>
              </w:rPr>
              <w:t>Rode Lijst Project FLORON</w:t>
            </w:r>
          </w:p>
        </w:tc>
        <w:tc>
          <w:tcPr>
            <w:tcW w:type="dxa" w:w="3345"/>
            <w:vAlign w:val="top"/>
            <w:shd w:fill="F7F7F7"/>
          </w:tcPr>
          <w:p>
            <w:pPr>
              <w:pStyle w:val="TableText"/>
              <w:keepNext w:val="0"/>
              <w:keepLines/>
            </w:pPr>
            <w:r>
              <w:t>Voorkomen en vastgelegde populatiekenmerken van onderzochte Rode-Lijstsoorten.</w:t>
            </w:r>
          </w:p>
        </w:tc>
        <w:tc>
          <w:tcPr>
            <w:tcW w:type="dxa" w:w="4139"/>
            <w:vAlign w:val="top"/>
            <w:shd w:fill="F7F7F7"/>
          </w:tcPr>
          <w:p>
            <w:pPr>
              <w:pStyle w:val="TableText"/>
              <w:keepNext w:val="0"/>
              <w:keepLines/>
            </w:pPr>
            <w:r>
              <w:t>TV/TA wanneer dezelfde groeiplaatsen met overeenkomstige tel- of abundantie-eenheden opnieuw worden onderzocht. Het Rode-Lijstdoel zelf bewijst geen trendopzet.</w:t>
            </w:r>
            <w:r>
              <w:t xml:space="preserve"> </w:t>
            </w:r>
            <w:hyperlink w:anchor="bron_42" w:history="1">
              <w:r>
                <w:rPr>
                  <w:color w:val="303030"/>
                  <w:vertAlign w:val="superscript"/>
                  <w:sz w:val="17"/>
                </w:rPr>
                <w:t>[42]</w:t>
              </w:r>
            </w:hyperlink>
          </w:p>
        </w:tc>
      </w:tr>
      <w:tr>
        <w:trPr>
          <w:cantSplit/>
        </w:trPr>
        <w:tc>
          <w:tcPr>
            <w:tcW w:type="dxa" w:w="2381"/>
            <w:vAlign w:val="top"/>
          </w:tcPr>
          <w:p>
            <w:pPr>
              <w:pStyle w:val="TableText"/>
              <w:keepNext w:val="0"/>
              <w:keepLines/>
            </w:pPr>
            <w:r>
              <w:rPr>
                <w:b/>
              </w:rPr>
              <w:t>12.007</w:t>
            </w:r>
            <w:r>
              <w:br/>
            </w:r>
            <w:r>
              <w:rPr>
                <w:b/>
              </w:rPr>
              <w:t>Vegetatieopnamen</w:t>
            </w:r>
          </w:p>
        </w:tc>
        <w:tc>
          <w:tcPr>
            <w:tcW w:type="dxa" w:w="3345"/>
            <w:vAlign w:val="top"/>
          </w:tcPr>
          <w:p>
            <w:pPr>
              <w:pStyle w:val="TableText"/>
              <w:keepNext w:val="0"/>
              <w:keepLines/>
            </w:pPr>
            <w:r>
              <w:t>Vegetatieclassificatie, soortensamenstelling en bedekking waar die is geregistreerd.</w:t>
            </w:r>
          </w:p>
        </w:tc>
        <w:tc>
          <w:tcPr>
            <w:tcW w:type="dxa" w:w="4139"/>
            <w:vAlign w:val="top"/>
          </w:tcPr>
          <w:p>
            <w:pPr>
              <w:pStyle w:val="TableText"/>
              <w:keepNext w:val="0"/>
              <w:keepLines/>
            </w:pPr>
            <w:r>
              <w:t>TK bij overeenkomstige heropnamen of een geschikte herhaalde steekproef. Niet iedere opname is een permanent proefvlak; oppervlakte en bedekkingsschaal moeten bekend zijn.</w:t>
            </w:r>
            <w:r>
              <w:t xml:space="preserve"> </w:t>
            </w:r>
            <w:hyperlink w:anchor="bron_43" w:history="1">
              <w:r>
                <w:rPr>
                  <w:color w:val="303030"/>
                  <w:vertAlign w:val="superscript"/>
                  <w:sz w:val="17"/>
                </w:rPr>
                <w:t>[43]</w:t>
              </w:r>
            </w:hyperlink>
          </w:p>
        </w:tc>
      </w:tr>
      <w:tr>
        <w:trPr>
          <w:cantSplit/>
        </w:trPr>
        <w:tc>
          <w:tcPr>
            <w:tcW w:type="dxa" w:w="2381"/>
            <w:vAlign w:val="top"/>
            <w:shd w:fill="F7F7F7"/>
          </w:tcPr>
          <w:p>
            <w:pPr>
              <w:pStyle w:val="TableText"/>
              <w:keepNext w:val="0"/>
              <w:keepLines/>
            </w:pPr>
            <w:r>
              <w:rPr>
                <w:b/>
              </w:rPr>
              <w:t>12.015</w:t>
            </w:r>
            <w:r>
              <w:br/>
            </w:r>
            <w:r>
              <w:rPr>
                <w:b/>
              </w:rPr>
              <w:t>Florakartering Staatsbosbeheer</w:t>
            </w:r>
          </w:p>
        </w:tc>
        <w:tc>
          <w:tcPr>
            <w:tcW w:type="dxa" w:w="3345"/>
            <w:vAlign w:val="top"/>
            <w:shd w:fill="F7F7F7"/>
          </w:tcPr>
          <w:p>
            <w:pPr>
              <w:pStyle w:val="TableText"/>
              <w:keepNext w:val="0"/>
              <w:keepLines/>
            </w:pPr>
            <w:r>
              <w:t>Voorlopig: lokale groeiplaatsen en floristische toestand, voor zover het oorspronkelijke onderzoek die vastlegt.</w:t>
            </w:r>
          </w:p>
        </w:tc>
        <w:tc>
          <w:tcPr>
            <w:tcW w:type="dxa" w:w="4139"/>
            <w:vAlign w:val="top"/>
            <w:shd w:fill="F7F7F7"/>
          </w:tcPr>
          <w:p>
            <w:pPr>
              <w:pStyle w:val="TableText"/>
              <w:keepNext w:val="0"/>
              <w:keepLines/>
            </w:pPr>
            <w:r>
              <w:t xml:space="preserve">Eerst karteerinstructie, doelsoorten, gebiedsgrens, abundantiemaat en herhaling opvragen. Een uniforme methode voor alle records: </w:t>
            </w:r>
            <w:r>
              <w:rPr>
                <w:b/>
              </w:rPr>
              <w:t>dit kan ik niet verifiëren</w:t>
            </w:r>
            <w:r>
              <w:t>. Zonder context resteert minimaal V.</w:t>
            </w:r>
            <w:r>
              <w:t xml:space="preserve"> </w:t>
            </w:r>
            <w:hyperlink w:anchor="bron_44" w:history="1">
              <w:r>
                <w:rPr>
                  <w:color w:val="303030"/>
                  <w:vertAlign w:val="superscript"/>
                  <w:sz w:val="17"/>
                </w:rPr>
                <w:t>[44]</w:t>
              </w:r>
            </w:hyperlink>
            <w:r>
              <w:rPr>
                <w:vertAlign w:val="superscript"/>
              </w:rPr>
              <w:t>,</w:t>
            </w:r>
            <w:hyperlink w:anchor="bron_45" w:history="1">
              <w:r>
                <w:rPr>
                  <w:color w:val="303030"/>
                  <w:vertAlign w:val="superscript"/>
                  <w:sz w:val="17"/>
                </w:rPr>
                <w:t>[45]</w:t>
              </w:r>
            </w:hyperlink>
          </w:p>
        </w:tc>
      </w:tr>
      <w:tr>
        <w:trPr>
          <w:cantSplit/>
        </w:trPr>
        <w:tc>
          <w:tcPr>
            <w:tcW w:type="dxa" w:w="2381"/>
            <w:vAlign w:val="top"/>
          </w:tcPr>
          <w:p>
            <w:pPr>
              <w:pStyle w:val="TableText"/>
              <w:keepNext w:val="0"/>
              <w:keepLines/>
            </w:pPr>
            <w:r>
              <w:rPr>
                <w:b/>
              </w:rPr>
              <w:t>17.506</w:t>
            </w:r>
            <w:r>
              <w:br/>
            </w:r>
            <w:r>
              <w:rPr>
                <w:b/>
              </w:rPr>
              <w:t>Vleermuisprotocol 2021</w:t>
            </w:r>
          </w:p>
        </w:tc>
        <w:tc>
          <w:tcPr>
            <w:tcW w:type="dxa" w:w="3345"/>
            <w:vAlign w:val="top"/>
          </w:tcPr>
          <w:p>
            <w:pPr>
              <w:pStyle w:val="TableText"/>
              <w:keepNext w:val="0"/>
              <w:keepLines/>
            </w:pPr>
            <w:r>
              <w:t>Aanwezigheid, verblijfplaatsen en ecologische functies van een onderzocht gebied voor vleermuizen.</w:t>
            </w:r>
          </w:p>
        </w:tc>
        <w:tc>
          <w:tcPr>
            <w:tcW w:type="dxa" w:w="4139"/>
            <w:vAlign w:val="top"/>
          </w:tcPr>
          <w:p>
            <w:pPr>
              <w:pStyle w:val="TableText"/>
              <w:keepNext w:val="0"/>
              <w:keepLines/>
            </w:pPr>
            <w:r>
              <w:t>TV/TA alleen binnen een aanvullend, vergelijkbaar meerjarig ontwerp. Meerdere bezoeken binnen één seizoen maken een inventarisatie vollediger, maar vormen geen langjarige trend.</w:t>
            </w:r>
            <w:r>
              <w:t xml:space="preserve"> </w:t>
            </w:r>
            <w:hyperlink w:anchor="bron_46" w:history="1">
              <w:r>
                <w:rPr>
                  <w:color w:val="303030"/>
                  <w:vertAlign w:val="superscript"/>
                  <w:sz w:val="17"/>
                </w:rPr>
                <w:t>[46]</w:t>
              </w:r>
            </w:hyperlink>
          </w:p>
        </w:tc>
      </w:tr>
      <w:tr>
        <w:trPr>
          <w:cantSplit/>
        </w:trPr>
        <w:tc>
          <w:tcPr>
            <w:tcW w:type="dxa" w:w="2381"/>
            <w:vAlign w:val="top"/>
            <w:shd w:fill="F7F7F7"/>
          </w:tcPr>
          <w:p>
            <w:pPr>
              <w:pStyle w:val="TableText"/>
              <w:keepNext w:val="0"/>
              <w:keepLines/>
            </w:pPr>
            <w:r>
              <w:rPr>
                <w:b/>
              </w:rPr>
              <w:t>03.003</w:t>
            </w:r>
            <w:r>
              <w:br/>
            </w:r>
            <w:r>
              <w:rPr>
                <w:b/>
              </w:rPr>
              <w:t>Tuinvlindertelling</w:t>
            </w:r>
          </w:p>
        </w:tc>
        <w:tc>
          <w:tcPr>
            <w:tcW w:type="dxa" w:w="3345"/>
            <w:vAlign w:val="top"/>
            <w:shd w:fill="F7F7F7"/>
          </w:tcPr>
          <w:p>
            <w:pPr>
              <w:pStyle w:val="TableText"/>
              <w:keepNext w:val="0"/>
              <w:keepLines/>
            </w:pPr>
            <w:r>
              <w:t>Voorkomen en telresultaten in deelnemende tuinen tijdens de telling.</w:t>
            </w:r>
          </w:p>
        </w:tc>
        <w:tc>
          <w:tcPr>
            <w:tcW w:type="dxa" w:w="4139"/>
            <w:vAlign w:val="top"/>
            <w:shd w:fill="F7F7F7"/>
          </w:tcPr>
          <w:p>
            <w:pPr>
              <w:pStyle w:val="TableText"/>
              <w:keepNext w:val="0"/>
              <w:keepLines/>
            </w:pPr>
            <w:r>
              <w:t>TV/TA met vergelijkbare herhaalde tuintellingen en correctie voor inspanning, datum en omstandigheden. Campagnetotalen zijn geen rechtstreekse landelijke populatietrend.</w:t>
            </w:r>
            <w:r>
              <w:t xml:space="preserve"> </w:t>
            </w:r>
            <w:hyperlink w:anchor="bron_47" w:history="1">
              <w:r>
                <w:rPr>
                  <w:color w:val="303030"/>
                  <w:vertAlign w:val="superscript"/>
                  <w:sz w:val="17"/>
                </w:rPr>
                <w:t>[47]</w:t>
              </w:r>
            </w:hyperlink>
          </w:p>
        </w:tc>
      </w:tr>
      <w:tr>
        <w:trPr>
          <w:cantSplit/>
        </w:trPr>
        <w:tc>
          <w:tcPr>
            <w:tcW w:type="dxa" w:w="2381"/>
            <w:vAlign w:val="top"/>
          </w:tcPr>
          <w:p>
            <w:pPr>
              <w:pStyle w:val="TableText"/>
              <w:keepNext w:val="0"/>
              <w:keepLines/>
            </w:pPr>
            <w:r>
              <w:rPr>
                <w:b/>
              </w:rPr>
              <w:t>102.005</w:t>
            </w:r>
            <w:r>
              <w:br/>
            </w:r>
            <w:r>
              <w:rPr>
                <w:b/>
              </w:rPr>
              <w:t>LiveAtlas</w:t>
            </w:r>
          </w:p>
        </w:tc>
        <w:tc>
          <w:tcPr>
            <w:tcW w:type="dxa" w:w="3345"/>
            <w:vAlign w:val="top"/>
          </w:tcPr>
          <w:p>
            <w:pPr>
              <w:pStyle w:val="TableText"/>
              <w:keepNext w:val="0"/>
              <w:keepLines/>
            </w:pPr>
            <w:r>
              <w:t>Soortenlijsten en telresultaten van gedocumenteerde bezoeken, met tijd- en plaatscontext.</w:t>
            </w:r>
          </w:p>
        </w:tc>
        <w:tc>
          <w:tcPr>
            <w:tcW w:type="dxa" w:w="4139"/>
            <w:vAlign w:val="top"/>
          </w:tcPr>
          <w:p>
            <w:pPr>
              <w:pStyle w:val="TableText"/>
              <w:keepNext w:val="0"/>
              <w:keepLines/>
            </w:pPr>
            <w:r>
              <w:t xml:space="preserve">TV/TA met de oorspronkelijke route-, duur- en waarnemersgegevens. Controleer volledigheid </w:t>
            </w:r>
            <w:r>
              <w:rPr>
                <w:b/>
              </w:rPr>
              <w:t>per soortgroep</w:t>
            </w:r>
            <w:r>
              <w:t>: niet iedere lijst is volledig.</w:t>
            </w:r>
            <w:r>
              <w:t xml:space="preserve"> </w:t>
            </w:r>
            <w:hyperlink w:anchor="bron_48" w:history="1">
              <w:r>
                <w:rPr>
                  <w:color w:val="303030"/>
                  <w:vertAlign w:val="superscript"/>
                  <w:sz w:val="17"/>
                </w:rPr>
                <w:t>[48]</w:t>
              </w:r>
            </w:hyperlink>
          </w:p>
        </w:tc>
      </w:tr>
      <w:tr>
        <w:trPr>
          <w:cantSplit/>
        </w:trPr>
        <w:tc>
          <w:tcPr>
            <w:tcW w:type="dxa" w:w="2381"/>
            <w:vAlign w:val="top"/>
            <w:shd w:fill="F7F7F7"/>
          </w:tcPr>
          <w:p>
            <w:pPr>
              <w:pStyle w:val="TableText"/>
              <w:keepNext w:val="0"/>
              <w:keepLines/>
            </w:pPr>
            <w:r>
              <w:rPr>
                <w:b/>
              </w:rPr>
              <w:t>102.007</w:t>
            </w:r>
            <w:r>
              <w:br/>
            </w:r>
            <w:r>
              <w:rPr>
                <w:b/>
              </w:rPr>
              <w:t>Kwartiertellingen</w:t>
            </w:r>
          </w:p>
        </w:tc>
        <w:tc>
          <w:tcPr>
            <w:tcW w:type="dxa" w:w="3345"/>
            <w:vAlign w:val="top"/>
            <w:shd w:fill="F7F7F7"/>
          </w:tcPr>
          <w:p>
            <w:pPr>
              <w:pStyle w:val="TableText"/>
              <w:keepNext w:val="0"/>
              <w:keepLines/>
            </w:pPr>
            <w:r>
              <w:t>Soortenlijsten en inspanningsgebonden tellingen van onderzochte soortgroepen of doelsoorten.</w:t>
            </w:r>
          </w:p>
        </w:tc>
        <w:tc>
          <w:tcPr>
            <w:tcW w:type="dxa" w:w="4139"/>
            <w:vAlign w:val="top"/>
            <w:shd w:fill="F7F7F7"/>
          </w:tcPr>
          <w:p>
            <w:pPr>
              <w:pStyle w:val="TableText"/>
              <w:keepNext w:val="0"/>
              <w:keepLines/>
            </w:pPr>
            <w:r>
              <w:t>TV/TA met oorspronkelijke route, werkelijke duur en volledigheid. De NDFF neemt de waarnemingen zonder routegegevens over; de naam garandeert niet altijd precies vijftien minuten.</w:t>
            </w:r>
            <w:r>
              <w:t xml:space="preserve"> </w:t>
            </w:r>
            <w:hyperlink w:anchor="bron_49" w:history="1">
              <w:r>
                <w:rPr>
                  <w:color w:val="303030"/>
                  <w:vertAlign w:val="superscript"/>
                  <w:sz w:val="17"/>
                </w:rPr>
                <w:t>[49]</w:t>
              </w:r>
            </w:hyperlink>
          </w:p>
        </w:tc>
      </w:tr>
      <w:tr>
        <w:trPr>
          <w:cantSplit/>
        </w:trPr>
        <w:tc>
          <w:tcPr>
            <w:tcW w:type="dxa" w:w="2381"/>
            <w:vAlign w:val="top"/>
          </w:tcPr>
          <w:p>
            <w:pPr>
              <w:pStyle w:val="TableText"/>
              <w:keepNext w:val="0"/>
              <w:keepLines/>
            </w:pPr>
            <w:r>
              <w:rPr>
                <w:b/>
              </w:rPr>
              <w:t>12.209</w:t>
            </w:r>
            <w:r>
              <w:br/>
            </w:r>
            <w:r>
              <w:rPr>
                <w:b/>
              </w:rPr>
              <w:t>Nectarindex FLORON</w:t>
            </w:r>
          </w:p>
        </w:tc>
        <w:tc>
          <w:tcPr>
            <w:tcW w:type="dxa" w:w="3345"/>
            <w:vAlign w:val="top"/>
          </w:tcPr>
          <w:p>
            <w:pPr>
              <w:pStyle w:val="TableText"/>
              <w:keepNext w:val="0"/>
              <w:keepLines/>
            </w:pPr>
            <w:r>
              <w:t>Floristische toestand en een op plantensoorten gebaseerd potentieel nectar- of bloemaanbod.</w:t>
            </w:r>
          </w:p>
        </w:tc>
        <w:tc>
          <w:tcPr>
            <w:tcW w:type="dxa" w:w="4139"/>
            <w:vAlign w:val="top"/>
          </w:tcPr>
          <w:p>
            <w:pPr>
              <w:pStyle w:val="TableText"/>
              <w:keepNext w:val="0"/>
              <w:keepLines/>
            </w:pPr>
            <w:r>
              <w:t>TK bij herhaalde opnamen van hetzelfde traject met overeenkomstige methode. Geen meting van werkelijk nectarvolume, insectenaantallen of bewezen beheersucces.</w:t>
            </w:r>
            <w:r>
              <w:t xml:space="preserve"> </w:t>
            </w:r>
            <w:hyperlink w:anchor="bron_50" w:history="1">
              <w:r>
                <w:rPr>
                  <w:color w:val="303030"/>
                  <w:vertAlign w:val="superscript"/>
                  <w:sz w:val="17"/>
                </w:rPr>
                <w:t>[50]</w:t>
              </w:r>
            </w:hyperlink>
          </w:p>
        </w:tc>
      </w:tr>
      <w:tr>
        <w:trPr>
          <w:cantSplit/>
        </w:trPr>
        <w:tc>
          <w:tcPr>
            <w:tcW w:type="dxa" w:w="2381"/>
            <w:vAlign w:val="top"/>
            <w:shd w:fill="F7F7F7"/>
          </w:tcPr>
          <w:p>
            <w:pPr>
              <w:pStyle w:val="TableText"/>
              <w:keepNext w:val="0"/>
              <w:keepLines/>
            </w:pPr>
            <w:r>
              <w:rPr>
                <w:b/>
              </w:rPr>
              <w:t>17.505</w:t>
            </w:r>
            <w:r>
              <w:br/>
            </w:r>
            <w:r>
              <w:rPr>
                <w:b/>
              </w:rPr>
              <w:t>Vleermuisprotocol 2017</w:t>
            </w:r>
          </w:p>
        </w:tc>
        <w:tc>
          <w:tcPr>
            <w:tcW w:type="dxa" w:w="3345"/>
            <w:vAlign w:val="top"/>
            <w:shd w:fill="F7F7F7"/>
          </w:tcPr>
          <w:p>
            <w:pPr>
              <w:pStyle w:val="TableText"/>
              <w:keepNext w:val="0"/>
              <w:keepLines/>
            </w:pPr>
            <w:r>
              <w:t>Inventarisatie van voorkomen en gebiedsfuncties volgens de toen gebruikte protocolversie.</w:t>
            </w:r>
          </w:p>
        </w:tc>
        <w:tc>
          <w:tcPr>
            <w:tcW w:type="dxa" w:w="4139"/>
            <w:vAlign w:val="top"/>
            <w:shd w:fill="F7F7F7"/>
          </w:tcPr>
          <w:p>
            <w:pPr>
              <w:pStyle w:val="TableText"/>
              <w:keepNext w:val="0"/>
              <w:keepLines/>
            </w:pPr>
            <w:r>
              <w:t>TV/TA alleen bij een aanvullend meerjarig ontwerp. Vergelijking met onderzoek volgens 2021 vereist controle op verschillen in onderzoeksinspanning en methode.</w:t>
            </w:r>
            <w:r>
              <w:t xml:space="preserve"> </w:t>
            </w:r>
            <w:hyperlink w:anchor="bron_51" w:history="1">
              <w:r>
                <w:rPr>
                  <w:color w:val="303030"/>
                  <w:vertAlign w:val="superscript"/>
                  <w:sz w:val="17"/>
                </w:rPr>
                <w:t>[51]</w:t>
              </w:r>
            </w:hyperlink>
            <w:r>
              <w:rPr>
                <w:vertAlign w:val="superscript"/>
              </w:rPr>
              <w:t>,</w:t>
            </w:r>
            <w:hyperlink w:anchor="bron_46" w:history="1">
              <w:r>
                <w:rPr>
                  <w:color w:val="303030"/>
                  <w:vertAlign w:val="superscript"/>
                  <w:sz w:val="17"/>
                </w:rPr>
                <w:t>[46]</w:t>
              </w:r>
            </w:hyperlink>
          </w:p>
        </w:tc>
      </w:tr>
    </w:tbl>
    <w:p>
      <w:pPr>
        <w:spacing w:after="20" w:before="0" w:line="60" w:lineRule="exact"/>
      </w:pPr>
      <w:r>
        <w:rPr>
          <w:sz w:val="6"/>
        </w:rPr>
      </w:r>
    </w:p>
    <w:p>
      <w:pPr>
        <w:pStyle w:val="Heading1"/>
        <w:keepNext/>
        <w:keepLines/>
        <w:pageBreakBefore w:val="0"/>
      </w:pPr>
      <w:r>
        <w:t>5. Voorkomensinformatie, historische bronnen en registraties — V</w:t>
      </w:r>
    </w:p>
    <w:p>
      <w:pPr>
        <w:keepNext/>
        <w:keepLines/>
      </w:pPr>
      <w:r>
        <w:rPr>
          <w:b/>
        </w:rPr>
        <w:t>Verantwoord gebruik:</w:t>
      </w:r>
      <w:r>
        <w:t xml:space="preserve"> controleerbare vindplaatsen, verspreidingskaarten, historische referenties en signalering van nieuwe of bijzondere voorkomens.</w:t>
      </w:r>
    </w:p>
    <w:p>
      <w:pPr>
        <w:keepNext/>
        <w:keepLines/>
      </w:pPr>
      <w:r>
        <w:t xml:space="preserve">Bij deze groep is de formulering </w:t>
      </w:r>
      <w:r>
        <w:rPr>
          <w:b/>
        </w:rPr>
        <w:t>“zonder aanvullende onderzoekscontext uitsluitend voorkomensinformatie”</w:t>
      </w:r>
      <w:r>
        <w:t xml:space="preserve"> correcter dan “nooit bruikbaar voor trends”. Onderzoek naar Nederlandse vlinders en libellen toont aan dat geschikte opportunistische gegevens, met passende correcties, verspreidingstrends kunnen ondersteunen. Dat rechtvaardigt niet dat ruwe aantallen meldingen als trend worden gebruikt.</w:t>
      </w:r>
      <w:r>
        <w:t xml:space="preserve"> </w:t>
      </w:r>
      <w:hyperlink w:anchor="bron_18" w:history="1">
        <w:r>
          <w:rPr>
            <w:color w:val="303030"/>
            <w:vertAlign w:val="superscript"/>
            <w:sz w:val="17"/>
          </w:rPr>
          <w:t>[18]</w:t>
        </w:r>
      </w:hyperlink>
    </w:p>
    <w:tbl>
      <w:tblPr>
        <w:tblW w:type="auto" w:w="0"/>
        <w:jc w:val="center"/>
        <w:tblLayout w:type="fixed"/>
        <w:tblLook w:firstColumn="1" w:firstRow="1" w:lastColumn="0" w:lastRow="0" w:noHBand="0" w:noVBand="1" w:val="04A0"/>
        <w:tblBorders>
          <w:top w:val="single" w:sz="4" w:color="D3D3D3"/>
          <w:left w:val="single" w:sz="4" w:color="D3D3D3"/>
          <w:bottom w:val="single" w:sz="4" w:color="D3D3D3"/>
          <w:right w:val="single" w:sz="4" w:color="D3D3D3"/>
          <w:insideH w:val="single" w:sz="4" w:color="D3D3D3"/>
          <w:insideV w:val="single" w:sz="4" w:color="D3D3D3"/>
        </w:tblBorders>
        <w:tblCellMar>
          <w:top w:w="85" w:type="dxa"/>
          <w:bottom w:w="85" w:type="dxa"/>
          <w:left w:w="95" w:type="dxa"/>
          <w:right w:w="95" w:type="dxa"/>
        </w:tblCellMar>
      </w:tblPr>
      <w:tblGrid>
        <w:gridCol w:w="2381"/>
        <w:gridCol w:w="3345"/>
        <w:gridCol w:w="4139"/>
      </w:tblGrid>
      <w:tr>
        <w:trPr>
          <w:cantSplit/>
          <w:tblHeader w:val="true"/>
        </w:trPr>
        <w:tc>
          <w:tcPr>
            <w:tcW w:type="dxa" w:w="2381"/>
            <w:vAlign w:val="top"/>
            <w:shd w:fill="E6E6E6"/>
          </w:tcPr>
          <w:p>
            <w:pPr>
              <w:pStyle w:val="TableText"/>
              <w:keepNext/>
            </w:pPr>
            <w:r>
              <w:rPr>
                <w:b/>
              </w:rPr>
              <w:t>Protocol of gegevensbron</w:t>
            </w:r>
          </w:p>
        </w:tc>
        <w:tc>
          <w:tcPr>
            <w:tcW w:type="dxa" w:w="3345"/>
            <w:vAlign w:val="top"/>
            <w:shd w:fill="E6E6E6"/>
          </w:tcPr>
          <w:p>
            <w:pPr>
              <w:pStyle w:val="TableText"/>
              <w:keepNext/>
            </w:pPr>
            <w:r>
              <w:rPr>
                <w:b/>
              </w:rPr>
              <w:t>Wetenschappelijk verantwoord gebruik</w:t>
            </w:r>
          </w:p>
        </w:tc>
        <w:tc>
          <w:tcPr>
            <w:tcW w:type="dxa" w:w="4139"/>
            <w:vAlign w:val="top"/>
            <w:shd w:fill="E6E6E6"/>
          </w:tcPr>
          <w:p>
            <w:pPr>
              <w:pStyle w:val="TableText"/>
              <w:keepNext/>
            </w:pPr>
            <w:r>
              <w:rPr>
                <w:b/>
              </w:rPr>
              <w:t>Begrenzing en mogelijke uitbreiding</w:t>
            </w:r>
          </w:p>
        </w:tc>
      </w:tr>
      <w:tr>
        <w:trPr>
          <w:cantSplit/>
        </w:trPr>
        <w:tc>
          <w:tcPr>
            <w:tcW w:type="dxa" w:w="2381"/>
            <w:vAlign w:val="top"/>
          </w:tcPr>
          <w:p>
            <w:pPr>
              <w:pStyle w:val="TableText"/>
              <w:keepNext w:val="0"/>
              <w:keepLines/>
            </w:pPr>
            <w:r>
              <w:rPr>
                <w:b/>
              </w:rPr>
              <w:t>03.001</w:t>
            </w:r>
            <w:r>
              <w:br/>
            </w:r>
            <w:r>
              <w:rPr>
                <w:b/>
              </w:rPr>
              <w:t>Gebiedsgerichte inventarisaties vlinders</w:t>
            </w:r>
          </w:p>
        </w:tc>
        <w:tc>
          <w:tcPr>
            <w:tcW w:type="dxa" w:w="3345"/>
            <w:vAlign w:val="top"/>
          </w:tcPr>
          <w:p>
            <w:pPr>
              <w:pStyle w:val="TableText"/>
              <w:keepNext w:val="0"/>
              <w:keepLines/>
            </w:pPr>
            <w:r>
              <w:t>Vondstlocaties en aangetoonde soortensamenstelling van gebieden.</w:t>
            </w:r>
          </w:p>
        </w:tc>
        <w:tc>
          <w:tcPr>
            <w:tcW w:type="dxa" w:w="4139"/>
            <w:vAlign w:val="top"/>
          </w:tcPr>
          <w:p>
            <w:pPr>
              <w:pStyle w:val="TableText"/>
              <w:keepNext w:val="0"/>
              <w:keepLines/>
            </w:pPr>
            <w:r>
              <w:t>De NDFF behandelt deze gegevens als losse waarnemingen. Met de originele complete inventarisatie kan I, en bij geschikte herhaling TV, mogelijk zijn.</w:t>
            </w:r>
            <w:r>
              <w:t xml:space="preserve"> </w:t>
            </w:r>
            <w:hyperlink w:anchor="bron_52" w:history="1">
              <w:r>
                <w:rPr>
                  <w:color w:val="303030"/>
                  <w:vertAlign w:val="superscript"/>
                  <w:sz w:val="17"/>
                </w:rPr>
                <w:t>[52]</w:t>
              </w:r>
            </w:hyperlink>
          </w:p>
        </w:tc>
      </w:tr>
      <w:tr>
        <w:trPr>
          <w:cantSplit/>
        </w:trPr>
        <w:tc>
          <w:tcPr>
            <w:tcW w:type="dxa" w:w="2381"/>
            <w:vAlign w:val="top"/>
            <w:shd w:fill="F7F7F7"/>
          </w:tcPr>
          <w:p>
            <w:pPr>
              <w:pStyle w:val="TableText"/>
              <w:keepNext w:val="0"/>
              <w:keepLines/>
            </w:pPr>
            <w:r>
              <w:rPr>
                <w:b/>
              </w:rPr>
              <w:t>04.004</w:t>
            </w:r>
            <w:r>
              <w:br/>
            </w:r>
            <w:r>
              <w:rPr>
                <w:b/>
              </w:rPr>
              <w:t>Atlasproject Nederlandse Mollusken</w:t>
            </w:r>
          </w:p>
        </w:tc>
        <w:tc>
          <w:tcPr>
            <w:tcW w:type="dxa" w:w="3345"/>
            <w:vAlign w:val="top"/>
            <w:shd w:fill="F7F7F7"/>
          </w:tcPr>
          <w:p>
            <w:pPr>
              <w:pStyle w:val="TableText"/>
              <w:keepNext w:val="0"/>
              <w:keepLines/>
            </w:pPr>
            <w:r>
              <w:t>Verspreidingskaarten, historische referenties en kennislacunes.</w:t>
            </w:r>
          </w:p>
        </w:tc>
        <w:tc>
          <w:tcPr>
            <w:tcW w:type="dxa" w:w="4139"/>
            <w:vAlign w:val="top"/>
            <w:shd w:fill="F7F7F7"/>
          </w:tcPr>
          <w:p>
            <w:pPr>
              <w:pStyle w:val="TableText"/>
              <w:keepNext w:val="0"/>
              <w:keepLines/>
            </w:pPr>
            <w:r>
              <w:t>De atlascode omvat geen uniforme meerjarige populatietelling. Oorspronkelijke complete monsters of inventarisaties kunnen aanvullend I of modelmatige TV ondersteunen.</w:t>
            </w:r>
            <w:r>
              <w:t xml:space="preserve"> </w:t>
            </w:r>
            <w:hyperlink w:anchor="bron_53" w:history="1">
              <w:r>
                <w:rPr>
                  <w:color w:val="303030"/>
                  <w:vertAlign w:val="superscript"/>
                  <w:sz w:val="17"/>
                </w:rPr>
                <w:t>[53]</w:t>
              </w:r>
            </w:hyperlink>
          </w:p>
        </w:tc>
      </w:tr>
      <w:tr>
        <w:trPr>
          <w:cantSplit/>
        </w:trPr>
        <w:tc>
          <w:tcPr>
            <w:tcW w:type="dxa" w:w="2381"/>
            <w:vAlign w:val="top"/>
          </w:tcPr>
          <w:p>
            <w:pPr>
              <w:pStyle w:val="TableText"/>
              <w:keepNext w:val="0"/>
              <w:keepLines/>
            </w:pPr>
            <w:r>
              <w:rPr>
                <w:b/>
              </w:rPr>
              <w:t>102.006</w:t>
            </w:r>
            <w:r>
              <w:br/>
            </w:r>
            <w:r>
              <w:rPr>
                <w:b/>
              </w:rPr>
              <w:t>ObsIdentify</w:t>
            </w:r>
          </w:p>
        </w:tc>
        <w:tc>
          <w:tcPr>
            <w:tcW w:type="dxa" w:w="3345"/>
            <w:vAlign w:val="top"/>
          </w:tcPr>
          <w:p>
            <w:pPr>
              <w:pStyle w:val="TableText"/>
              <w:keepNext w:val="0"/>
              <w:keepLines/>
            </w:pPr>
            <w:r>
              <w:t>Gevalideerd voorkomensbewijs en gerichte signalering.</w:t>
            </w:r>
          </w:p>
        </w:tc>
        <w:tc>
          <w:tcPr>
            <w:tcW w:type="dxa" w:w="4139"/>
            <w:vAlign w:val="top"/>
          </w:tcPr>
          <w:p>
            <w:pPr>
              <w:pStyle w:val="TableText"/>
              <w:keepNext w:val="0"/>
              <w:keepLines/>
            </w:pPr>
            <w:r>
              <w:t>Een invoerapp is geen steekproefontwerp. Controleer determinatie en locatie; groei in appgebruik mag niet worden geïnterpreteerd als populatiegroei.</w:t>
            </w:r>
            <w:r>
              <w:t xml:space="preserve"> </w:t>
            </w:r>
            <w:hyperlink w:anchor="bron_54" w:history="1">
              <w:r>
                <w:rPr>
                  <w:color w:val="303030"/>
                  <w:vertAlign w:val="superscript"/>
                  <w:sz w:val="17"/>
                </w:rPr>
                <w:t>[54]</w:t>
              </w:r>
            </w:hyperlink>
            <w:r>
              <w:rPr>
                <w:vertAlign w:val="superscript"/>
              </w:rPr>
              <w:t>,</w:t>
            </w:r>
            <w:hyperlink w:anchor="bron_18" w:history="1">
              <w:r>
                <w:rPr>
                  <w:color w:val="303030"/>
                  <w:vertAlign w:val="superscript"/>
                  <w:sz w:val="17"/>
                </w:rPr>
                <w:t>[18]</w:t>
              </w:r>
            </w:hyperlink>
          </w:p>
        </w:tc>
      </w:tr>
      <w:tr>
        <w:trPr>
          <w:cantSplit/>
        </w:trPr>
        <w:tc>
          <w:tcPr>
            <w:tcW w:type="dxa" w:w="2381"/>
            <w:vAlign w:val="top"/>
            <w:shd w:fill="F7F7F7"/>
          </w:tcPr>
          <w:p>
            <w:pPr>
              <w:pStyle w:val="TableText"/>
              <w:keepNext w:val="0"/>
              <w:keepLines/>
            </w:pPr>
            <w:r>
              <w:rPr>
                <w:b/>
              </w:rPr>
              <w:t>104.000</w:t>
            </w:r>
            <w:r>
              <w:br/>
            </w:r>
            <w:r>
              <w:rPr>
                <w:b/>
              </w:rPr>
              <w:t>Waarnemingen uit literatuur</w:t>
            </w:r>
          </w:p>
        </w:tc>
        <w:tc>
          <w:tcPr>
            <w:tcW w:type="dxa" w:w="3345"/>
            <w:vAlign w:val="top"/>
            <w:shd w:fill="F7F7F7"/>
          </w:tcPr>
          <w:p>
            <w:pPr>
              <w:pStyle w:val="TableText"/>
              <w:keepNext w:val="0"/>
              <w:keepLines/>
            </w:pPr>
            <w:r>
              <w:t>Historisch voorkomen en reconstructie van gedocumenteerde verspreiding.</w:t>
            </w:r>
          </w:p>
        </w:tc>
        <w:tc>
          <w:tcPr>
            <w:tcW w:type="dxa" w:w="4139"/>
            <w:vAlign w:val="top"/>
            <w:shd w:fill="F7F7F7"/>
          </w:tcPr>
          <w:p>
            <w:pPr>
              <w:pStyle w:val="TableText"/>
              <w:keepNext w:val="0"/>
              <w:keepLines/>
            </w:pPr>
            <w:r>
              <w:t>Dit is een herkomstcategorie. Ga terug naar de oorspronkelijke publicatie: daarin kan een losse vondst, inventarisatie of volledige meetreeks beschreven zijn.</w:t>
            </w:r>
            <w:r>
              <w:t xml:space="preserve"> </w:t>
            </w:r>
            <w:hyperlink w:anchor="bron_55" w:history="1">
              <w:r>
                <w:rPr>
                  <w:color w:val="303030"/>
                  <w:vertAlign w:val="superscript"/>
                  <w:sz w:val="17"/>
                </w:rPr>
                <w:t>[55]</w:t>
              </w:r>
            </w:hyperlink>
            <w:r>
              <w:rPr>
                <w:vertAlign w:val="superscript"/>
              </w:rPr>
              <w:t>,</w:t>
            </w:r>
            <w:hyperlink w:anchor="bron_45" w:history="1">
              <w:r>
                <w:rPr>
                  <w:color w:val="303030"/>
                  <w:vertAlign w:val="superscript"/>
                  <w:sz w:val="17"/>
                </w:rPr>
                <w:t>[45]</w:t>
              </w:r>
            </w:hyperlink>
          </w:p>
        </w:tc>
      </w:tr>
      <w:tr>
        <w:trPr>
          <w:cantSplit/>
        </w:trPr>
        <w:tc>
          <w:tcPr>
            <w:tcW w:type="dxa" w:w="2381"/>
            <w:vAlign w:val="top"/>
          </w:tcPr>
          <w:p>
            <w:pPr>
              <w:pStyle w:val="TableText"/>
              <w:keepNext w:val="0"/>
              <w:keepLines/>
            </w:pPr>
            <w:r>
              <w:rPr>
                <w:b/>
              </w:rPr>
              <w:t>105.000</w:t>
            </w:r>
            <w:r>
              <w:br/>
            </w:r>
            <w:r>
              <w:rPr>
                <w:b/>
              </w:rPr>
              <w:t>Waarnemingen uit collecties</w:t>
            </w:r>
          </w:p>
        </w:tc>
        <w:tc>
          <w:tcPr>
            <w:tcW w:type="dxa" w:w="3345"/>
            <w:vAlign w:val="top"/>
          </w:tcPr>
          <w:p>
            <w:pPr>
              <w:pStyle w:val="TableText"/>
              <w:keepNext w:val="0"/>
              <w:keepLines/>
            </w:pPr>
            <w:r>
              <w:t>Hercontroleerbaar historisch voorkomensbewijs en taxonomische revisie.</w:t>
            </w:r>
          </w:p>
        </w:tc>
        <w:tc>
          <w:tcPr>
            <w:tcW w:type="dxa" w:w="4139"/>
            <w:vAlign w:val="top"/>
          </w:tcPr>
          <w:p>
            <w:pPr>
              <w:pStyle w:val="TableText"/>
              <w:keepNext w:val="0"/>
              <w:keepLines/>
            </w:pPr>
            <w:r>
              <w:t>Behoud specimen-ID, vindplaats en verzameldatum. Aantallen verzamelde exemplaren weerspiegelen ook verzamelactiviteit, niet uitsluitend populatieomvang.</w:t>
            </w:r>
            <w:r>
              <w:t xml:space="preserve"> </w:t>
            </w:r>
            <w:hyperlink w:anchor="bron_56" w:history="1">
              <w:r>
                <w:rPr>
                  <w:color w:val="303030"/>
                  <w:vertAlign w:val="superscript"/>
                  <w:sz w:val="17"/>
                </w:rPr>
                <w:t>[56]</w:t>
              </w:r>
            </w:hyperlink>
          </w:p>
        </w:tc>
      </w:tr>
      <w:tr>
        <w:trPr>
          <w:cantSplit/>
        </w:trPr>
        <w:tc>
          <w:tcPr>
            <w:tcW w:type="dxa" w:w="2381"/>
            <w:vAlign w:val="top"/>
            <w:shd w:fill="F7F7F7"/>
          </w:tcPr>
          <w:p>
            <w:pPr>
              <w:pStyle w:val="TableText"/>
              <w:keepNext w:val="0"/>
              <w:keepLines/>
            </w:pPr>
            <w:r>
              <w:rPr>
                <w:b/>
              </w:rPr>
              <w:t>12.004</w:t>
            </w:r>
            <w:r>
              <w:br/>
            </w:r>
            <w:r>
              <w:rPr>
                <w:b/>
              </w:rPr>
              <w:t>FLORIVON en Atlas Nederlandse Flora</w:t>
            </w:r>
          </w:p>
        </w:tc>
        <w:tc>
          <w:tcPr>
            <w:tcW w:type="dxa" w:w="3345"/>
            <w:vAlign w:val="top"/>
            <w:shd w:fill="F7F7F7"/>
          </w:tcPr>
          <w:p>
            <w:pPr>
              <w:pStyle w:val="TableText"/>
              <w:keepNext w:val="0"/>
              <w:keepLines/>
            </w:pPr>
            <w:r>
              <w:t>Historische verspreidingsreferentie.</w:t>
            </w:r>
          </w:p>
        </w:tc>
        <w:tc>
          <w:tcPr>
            <w:tcW w:type="dxa" w:w="4139"/>
            <w:vAlign w:val="top"/>
            <w:shd w:fill="F7F7F7"/>
          </w:tcPr>
          <w:p>
            <w:pPr>
              <w:pStyle w:val="TableText"/>
              <w:keepNext w:val="0"/>
              <w:keepLines/>
            </w:pPr>
            <w:r>
              <w:t>Vergelijk perioden alleen na harmonisatie van taxonomie, ruimtelijke resolutie en onderzoeksdekking. Publicatiejaar is niet hetzelfde als waarnemingsjaar.</w:t>
            </w:r>
            <w:r>
              <w:t xml:space="preserve"> </w:t>
            </w:r>
            <w:hyperlink w:anchor="bron_57" w:history="1">
              <w:r>
                <w:rPr>
                  <w:color w:val="303030"/>
                  <w:vertAlign w:val="superscript"/>
                  <w:sz w:val="17"/>
                </w:rPr>
                <w:t>[57]</w:t>
              </w:r>
            </w:hyperlink>
          </w:p>
        </w:tc>
      </w:tr>
      <w:tr>
        <w:trPr>
          <w:cantSplit/>
        </w:trPr>
        <w:tc>
          <w:tcPr>
            <w:tcW w:type="dxa" w:w="2381"/>
            <w:vAlign w:val="top"/>
          </w:tcPr>
          <w:p>
            <w:pPr>
              <w:pStyle w:val="TableText"/>
              <w:keepNext w:val="0"/>
              <w:keepLines/>
            </w:pPr>
            <w:r>
              <w:rPr>
                <w:b/>
              </w:rPr>
              <w:t>12.006</w:t>
            </w:r>
            <w:r>
              <w:br/>
            </w:r>
            <w:r>
              <w:rPr>
                <w:b/>
              </w:rPr>
              <w:t>Detailwaarnemingen FLORON / FLORBASE</w:t>
            </w:r>
          </w:p>
        </w:tc>
        <w:tc>
          <w:tcPr>
            <w:tcW w:type="dxa" w:w="3345"/>
            <w:vAlign w:val="top"/>
          </w:tcPr>
          <w:p>
            <w:pPr>
              <w:pStyle w:val="TableText"/>
              <w:keepNext w:val="0"/>
              <w:keepLines/>
            </w:pPr>
            <w:r>
              <w:t>Groeiplaatsen, verspreiding en bijzondere vondsten.</w:t>
            </w:r>
          </w:p>
        </w:tc>
        <w:tc>
          <w:tcPr>
            <w:tcW w:type="dxa" w:w="4139"/>
            <w:vAlign w:val="top"/>
          </w:tcPr>
          <w:p>
            <w:pPr>
              <w:pStyle w:val="TableText"/>
              <w:keepNext w:val="0"/>
              <w:keepLines/>
            </w:pPr>
            <w:r>
              <w:t>De code bundelt uiteenlopende bronnen en methoden. Herstel de oorspronkelijke projectcontext voordat I of TV wordt toegekend.</w:t>
            </w:r>
            <w:r>
              <w:t xml:space="preserve"> </w:t>
            </w:r>
            <w:hyperlink w:anchor="bron_58" w:history="1">
              <w:r>
                <w:rPr>
                  <w:color w:val="303030"/>
                  <w:vertAlign w:val="superscript"/>
                  <w:sz w:val="17"/>
                </w:rPr>
                <w:t>[58]</w:t>
              </w:r>
            </w:hyperlink>
          </w:p>
        </w:tc>
      </w:tr>
      <w:tr>
        <w:trPr>
          <w:cantSplit/>
        </w:trPr>
        <w:tc>
          <w:tcPr>
            <w:tcW w:type="dxa" w:w="2381"/>
            <w:vAlign w:val="top"/>
            <w:shd w:fill="F7F7F7"/>
          </w:tcPr>
          <w:p>
            <w:pPr>
              <w:pStyle w:val="TableText"/>
              <w:keepNext w:val="0"/>
              <w:keepLines/>
            </w:pPr>
            <w:r>
              <w:rPr>
                <w:b/>
              </w:rPr>
              <w:t>17.005</w:t>
            </w:r>
            <w:r>
              <w:br/>
            </w:r>
            <w:r>
              <w:rPr>
                <w:b/>
              </w:rPr>
              <w:t>Atlas Nederlandse Zoogdieren 1992</w:t>
            </w:r>
          </w:p>
        </w:tc>
        <w:tc>
          <w:tcPr>
            <w:tcW w:type="dxa" w:w="3345"/>
            <w:vAlign w:val="top"/>
            <w:shd w:fill="F7F7F7"/>
          </w:tcPr>
          <w:p>
            <w:pPr>
              <w:pStyle w:val="TableText"/>
              <w:keepNext w:val="0"/>
              <w:keepLines/>
            </w:pPr>
            <w:r>
              <w:t>Historische verspreidingsreferentie van zoogdieren.</w:t>
            </w:r>
          </w:p>
        </w:tc>
        <w:tc>
          <w:tcPr>
            <w:tcW w:type="dxa" w:w="4139"/>
            <w:vAlign w:val="top"/>
            <w:shd w:fill="F7F7F7"/>
          </w:tcPr>
          <w:p>
            <w:pPr>
              <w:pStyle w:val="TableText"/>
              <w:keepNext w:val="0"/>
              <w:keepLines/>
            </w:pPr>
            <w:r>
              <w:t>De onderliggende waarnemingen betreffen 1970–1988 en zijn veelal op atlasblokschaal vastgelegd. Geen jaarlijkse populatietrend uit atlasrecordtotalen afleiden.</w:t>
            </w:r>
            <w:r>
              <w:t xml:space="preserve"> </w:t>
            </w:r>
            <w:hyperlink w:anchor="bron_59" w:history="1">
              <w:r>
                <w:rPr>
                  <w:color w:val="303030"/>
                  <w:vertAlign w:val="superscript"/>
                  <w:sz w:val="17"/>
                </w:rPr>
                <w:t>[59]</w:t>
              </w:r>
            </w:hyperlink>
          </w:p>
        </w:tc>
      </w:tr>
      <w:tr>
        <w:trPr>
          <w:cantSplit/>
        </w:trPr>
        <w:tc>
          <w:tcPr>
            <w:tcW w:type="dxa" w:w="2381"/>
            <w:vAlign w:val="top"/>
          </w:tcPr>
          <w:p>
            <w:pPr>
              <w:pStyle w:val="TableText"/>
              <w:keepNext w:val="0"/>
              <w:keepLines/>
            </w:pPr>
            <w:r>
              <w:rPr>
                <w:b/>
              </w:rPr>
              <w:t>17.006</w:t>
            </w:r>
            <w:r>
              <w:br/>
            </w:r>
            <w:r>
              <w:rPr>
                <w:b/>
              </w:rPr>
              <w:t>Atlas Nederlandse Vleermuizen 1997</w:t>
            </w:r>
          </w:p>
        </w:tc>
        <w:tc>
          <w:tcPr>
            <w:tcW w:type="dxa" w:w="3345"/>
            <w:vAlign w:val="top"/>
          </w:tcPr>
          <w:p>
            <w:pPr>
              <w:pStyle w:val="TableText"/>
              <w:keepNext w:val="0"/>
              <w:keepLines/>
            </w:pPr>
            <w:r>
              <w:t>Historisch voorkomen en vastgelegd landschapsgebruik.</w:t>
            </w:r>
          </w:p>
        </w:tc>
        <w:tc>
          <w:tcPr>
            <w:tcW w:type="dxa" w:w="4139"/>
            <w:vAlign w:val="top"/>
          </w:tcPr>
          <w:p>
            <w:pPr>
              <w:pStyle w:val="TableText"/>
              <w:keepNext w:val="0"/>
              <w:keepLines/>
            </w:pPr>
            <w:r>
              <w:t>De gegevens betreffen 1986–1993 en verschillende detectiemethoden. Latere vergelijking vereist controle op veranderde techniek, kennis en inspanning.</w:t>
            </w:r>
            <w:r>
              <w:t xml:space="preserve"> </w:t>
            </w:r>
            <w:hyperlink w:anchor="bron_60" w:history="1">
              <w:r>
                <w:rPr>
                  <w:color w:val="303030"/>
                  <w:vertAlign w:val="superscript"/>
                  <w:sz w:val="17"/>
                </w:rPr>
                <w:t>[60]</w:t>
              </w:r>
            </w:hyperlink>
          </w:p>
        </w:tc>
      </w:tr>
      <w:tr>
        <w:trPr>
          <w:cantSplit/>
        </w:trPr>
        <w:tc>
          <w:tcPr>
            <w:tcW w:type="dxa" w:w="2381"/>
            <w:vAlign w:val="top"/>
            <w:shd w:fill="F7F7F7"/>
          </w:tcPr>
          <w:p>
            <w:pPr>
              <w:pStyle w:val="TableText"/>
              <w:keepNext w:val="0"/>
              <w:keepLines/>
            </w:pPr>
            <w:r>
              <w:rPr>
                <w:b/>
              </w:rPr>
              <w:t>17.007</w:t>
            </w:r>
            <w:r>
              <w:br/>
            </w:r>
            <w:r>
              <w:rPr>
                <w:b/>
              </w:rPr>
              <w:t>Bestrijding Muskusratten en Beverratten</w:t>
            </w:r>
          </w:p>
        </w:tc>
        <w:tc>
          <w:tcPr>
            <w:tcW w:type="dxa" w:w="3345"/>
            <w:vAlign w:val="top"/>
            <w:shd w:fill="F7F7F7"/>
          </w:tcPr>
          <w:p>
            <w:pPr>
              <w:pStyle w:val="TableText"/>
              <w:keepNext w:val="0"/>
              <w:keepLines/>
            </w:pPr>
            <w:r>
              <w:t xml:space="preserve">Voorkomen en </w:t>
            </w:r>
            <w:r>
              <w:rPr>
                <w:b/>
              </w:rPr>
              <w:t>operationele vangst- en verwijderingsstatistiek</w:t>
            </w:r>
            <w:r>
              <w:t>.</w:t>
            </w:r>
          </w:p>
        </w:tc>
        <w:tc>
          <w:tcPr>
            <w:tcW w:type="dxa" w:w="4139"/>
            <w:vAlign w:val="top"/>
            <w:shd w:fill="F7F7F7"/>
          </w:tcPr>
          <w:p>
            <w:pPr>
              <w:pStyle w:val="TableText"/>
              <w:keepNext w:val="0"/>
              <w:keepLines/>
            </w:pPr>
            <w:r>
              <w:t>Vangsten zijn niet rechtstreeks populatieaantallen. Een populatie-index vraagt gegevens over inzet, vangmiddelen, plaatsing en de invloed van het wegvangen zelf.</w:t>
            </w:r>
            <w:r>
              <w:t xml:space="preserve"> </w:t>
            </w:r>
            <w:hyperlink w:anchor="bron_61" w:history="1">
              <w:r>
                <w:rPr>
                  <w:color w:val="303030"/>
                  <w:vertAlign w:val="superscript"/>
                  <w:sz w:val="17"/>
                </w:rPr>
                <w:t>[61]</w:t>
              </w:r>
            </w:hyperlink>
          </w:p>
        </w:tc>
      </w:tr>
      <w:tr>
        <w:trPr>
          <w:cantSplit/>
        </w:trPr>
        <w:tc>
          <w:tcPr>
            <w:tcW w:type="dxa" w:w="2381"/>
            <w:vAlign w:val="top"/>
          </w:tcPr>
          <w:p>
            <w:pPr>
              <w:pStyle w:val="TableText"/>
              <w:keepNext w:val="0"/>
              <w:keepLines/>
            </w:pPr>
            <w:r>
              <w:rPr>
                <w:b/>
              </w:rPr>
              <w:t>Losse waarnemingen</w:t>
            </w:r>
          </w:p>
        </w:tc>
        <w:tc>
          <w:tcPr>
            <w:tcW w:type="dxa" w:w="3345"/>
            <w:vAlign w:val="top"/>
          </w:tcPr>
          <w:p>
            <w:pPr>
              <w:pStyle w:val="TableText"/>
              <w:keepNext w:val="0"/>
              <w:keepLines/>
            </w:pPr>
            <w:r>
              <w:t>Voorkomensbewijs, verspreidingskaarten en signalering van vestiging of uitbreiding.</w:t>
            </w:r>
          </w:p>
        </w:tc>
        <w:tc>
          <w:tcPr>
            <w:tcW w:type="dxa" w:w="4139"/>
            <w:vAlign w:val="top"/>
          </w:tcPr>
          <w:p>
            <w:pPr>
              <w:pStyle w:val="TableText"/>
              <w:keepNext w:val="0"/>
              <w:keepLines/>
            </w:pPr>
            <w:r>
              <w:t>TV is mogelijk bij geschikte reconstructie van bezoeken en detectie, met modelvalidatie. Ruwe aantallen meldingen zijn geen trendmaat.</w:t>
            </w:r>
            <w:r>
              <w:t xml:space="preserve"> </w:t>
            </w:r>
            <w:hyperlink w:anchor="bron_55" w:history="1">
              <w:r>
                <w:rPr>
                  <w:color w:val="303030"/>
                  <w:vertAlign w:val="superscript"/>
                  <w:sz w:val="17"/>
                </w:rPr>
                <w:t>[55]</w:t>
              </w:r>
            </w:hyperlink>
            <w:r>
              <w:rPr>
                <w:vertAlign w:val="superscript"/>
              </w:rPr>
              <w:t>,</w:t>
            </w:r>
            <w:hyperlink w:anchor="bron_18" w:history="1">
              <w:r>
                <w:rPr>
                  <w:color w:val="303030"/>
                  <w:vertAlign w:val="superscript"/>
                  <w:sz w:val="17"/>
                </w:rPr>
                <w:t>[18]</w:t>
              </w:r>
            </w:hyperlink>
          </w:p>
        </w:tc>
      </w:tr>
      <w:tr>
        <w:trPr>
          <w:cantSplit/>
        </w:trPr>
        <w:tc>
          <w:tcPr>
            <w:tcW w:type="dxa" w:w="2381"/>
            <w:vAlign w:val="top"/>
            <w:shd w:fill="F7F7F7"/>
          </w:tcPr>
          <w:p>
            <w:pPr>
              <w:pStyle w:val="TableText"/>
              <w:keepNext w:val="0"/>
              <w:keepLines/>
            </w:pPr>
            <w:r>
              <w:rPr>
                <w:b/>
              </w:rPr>
              <w:t>07.001</w:t>
            </w:r>
            <w:r>
              <w:br/>
            </w:r>
            <w:r>
              <w:rPr>
                <w:b/>
              </w:rPr>
              <w:t>Verspreidingsonderzoek libellen</w:t>
            </w:r>
          </w:p>
        </w:tc>
        <w:tc>
          <w:tcPr>
            <w:tcW w:type="dxa" w:w="3345"/>
            <w:vAlign w:val="top"/>
            <w:shd w:fill="F7F7F7"/>
          </w:tcPr>
          <w:p>
            <w:pPr>
              <w:pStyle w:val="TableText"/>
              <w:keepNext w:val="0"/>
              <w:keepLines/>
            </w:pPr>
            <w:r>
              <w:t>Historische en actuele vindplaatsen en verspreidingskaarten.</w:t>
            </w:r>
          </w:p>
        </w:tc>
        <w:tc>
          <w:tcPr>
            <w:tcW w:type="dxa" w:w="4139"/>
            <w:vAlign w:val="top"/>
            <w:shd w:fill="F7F7F7"/>
          </w:tcPr>
          <w:p>
            <w:pPr>
              <w:pStyle w:val="TableText"/>
              <w:keepNext w:val="0"/>
              <w:keepLines/>
            </w:pPr>
            <w:r>
              <w:t>De gepubliceerde metadata beschrijven inventarisaties én losse waarnemingen, met positieve records zonder nullen. TV vraagt aanvullende reconstructie en analyse.</w:t>
            </w:r>
            <w:r>
              <w:t xml:space="preserve"> </w:t>
            </w:r>
            <w:hyperlink w:anchor="bron_62" w:history="1">
              <w:r>
                <w:rPr>
                  <w:color w:val="303030"/>
                  <w:vertAlign w:val="superscript"/>
                  <w:sz w:val="17"/>
                </w:rPr>
                <w:t>[62]</w:t>
              </w:r>
            </w:hyperlink>
            <w:r>
              <w:rPr>
                <w:vertAlign w:val="superscript"/>
              </w:rPr>
              <w:t>,</w:t>
            </w:r>
            <w:hyperlink w:anchor="bron_63" w:history="1">
              <w:r>
                <w:rPr>
                  <w:color w:val="303030"/>
                  <w:vertAlign w:val="superscript"/>
                  <w:sz w:val="17"/>
                </w:rPr>
                <w:t>[63]</w:t>
              </w:r>
            </w:hyperlink>
            <w:r>
              <w:rPr>
                <w:vertAlign w:val="superscript"/>
              </w:rPr>
              <w:t>,</w:t>
            </w:r>
            <w:hyperlink w:anchor="bron_18" w:history="1">
              <w:r>
                <w:rPr>
                  <w:color w:val="303030"/>
                  <w:vertAlign w:val="superscript"/>
                  <w:sz w:val="17"/>
                </w:rPr>
                <w:t>[18]</w:t>
              </w:r>
            </w:hyperlink>
          </w:p>
        </w:tc>
      </w:tr>
      <w:tr>
        <w:trPr>
          <w:cantSplit/>
        </w:trPr>
        <w:tc>
          <w:tcPr>
            <w:tcW w:type="dxa" w:w="2381"/>
            <w:vAlign w:val="top"/>
          </w:tcPr>
          <w:p>
            <w:pPr>
              <w:pStyle w:val="TableText"/>
              <w:keepNext w:val="0"/>
              <w:keepLines/>
            </w:pPr>
            <w:r>
              <w:rPr>
                <w:b/>
              </w:rPr>
              <w:t>102.004</w:t>
            </w:r>
            <w:r>
              <w:br/>
            </w:r>
            <w:r>
              <w:rPr>
                <w:b/>
              </w:rPr>
              <w:t>iNaturalist</w:t>
            </w:r>
          </w:p>
        </w:tc>
        <w:tc>
          <w:tcPr>
            <w:tcW w:type="dxa" w:w="3345"/>
            <w:vAlign w:val="top"/>
          </w:tcPr>
          <w:p>
            <w:pPr>
              <w:pStyle w:val="TableText"/>
              <w:keepNext w:val="0"/>
              <w:keepLines/>
            </w:pPr>
            <w:r>
              <w:t>Gevalideerd voorkomensbewijs op een passende taxonomische en ruimtelijke schaal.</w:t>
            </w:r>
          </w:p>
        </w:tc>
        <w:tc>
          <w:tcPr>
            <w:tcW w:type="dxa" w:w="4139"/>
            <w:vAlign w:val="top"/>
          </w:tcPr>
          <w:p>
            <w:pPr>
              <w:pStyle w:val="TableText"/>
              <w:keepNext w:val="0"/>
              <w:keepLines/>
            </w:pPr>
            <w:r>
              <w:t>Platformvalidatie vervangt geen onderzoeksopzet. Controleer determinatieniveau, coördinatenonzekerheid en selectieve rapportage.</w:t>
            </w:r>
            <w:r>
              <w:t xml:space="preserve"> </w:t>
            </w:r>
            <w:hyperlink w:anchor="bron_64" w:history="1">
              <w:r>
                <w:rPr>
                  <w:color w:val="303030"/>
                  <w:vertAlign w:val="superscript"/>
                  <w:sz w:val="17"/>
                </w:rPr>
                <w:t>[64]</w:t>
              </w:r>
            </w:hyperlink>
            <w:r>
              <w:rPr>
                <w:vertAlign w:val="superscript"/>
              </w:rPr>
              <w:t>,</w:t>
            </w:r>
            <w:hyperlink w:anchor="bron_18" w:history="1">
              <w:r>
                <w:rPr>
                  <w:color w:val="303030"/>
                  <w:vertAlign w:val="superscript"/>
                  <w:sz w:val="17"/>
                </w:rPr>
                <w:t>[18]</w:t>
              </w:r>
            </w:hyperlink>
          </w:p>
        </w:tc>
      </w:tr>
      <w:tr>
        <w:trPr>
          <w:cantSplit/>
        </w:trPr>
        <w:tc>
          <w:tcPr>
            <w:tcW w:type="dxa" w:w="2381"/>
            <w:vAlign w:val="top"/>
            <w:shd w:fill="F7F7F7"/>
          </w:tcPr>
          <w:p>
            <w:pPr>
              <w:pStyle w:val="TableText"/>
              <w:keepNext w:val="0"/>
              <w:keepLines/>
            </w:pPr>
            <w:r>
              <w:rPr>
                <w:b/>
              </w:rPr>
              <w:t>12.011</w:t>
            </w:r>
            <w:r>
              <w:br/>
            </w:r>
            <w:r>
              <w:rPr>
                <w:b/>
              </w:rPr>
              <w:t>Daglijsten Kranswieren</w:t>
            </w:r>
          </w:p>
        </w:tc>
        <w:tc>
          <w:tcPr>
            <w:tcW w:type="dxa" w:w="3345"/>
            <w:vAlign w:val="top"/>
            <w:shd w:fill="F7F7F7"/>
          </w:tcPr>
          <w:p>
            <w:pPr>
              <w:pStyle w:val="TableText"/>
              <w:keepNext w:val="0"/>
              <w:keepLines/>
            </w:pPr>
            <w:r>
              <w:t>Gecontroleerde vindplaatsen en verspreiding van kranswieren.</w:t>
            </w:r>
          </w:p>
        </w:tc>
        <w:tc>
          <w:tcPr>
            <w:tcW w:type="dxa" w:w="4139"/>
            <w:vAlign w:val="top"/>
            <w:shd w:fill="F7F7F7"/>
          </w:tcPr>
          <w:p>
            <w:pPr>
              <w:pStyle w:val="TableText"/>
              <w:keepNext w:val="0"/>
              <w:keepLines/>
            </w:pPr>
            <w:r>
              <w:t>De gepubliceerde datasetmetadata vermelden positieve waarnemingen zonder nullen. De naam “daglijst” bewijst geen volledigheid; I/TV vereist de oorspronkelijke inventarisatiecontext.</w:t>
            </w:r>
            <w:r>
              <w:t xml:space="preserve"> </w:t>
            </w:r>
            <w:hyperlink w:anchor="bron_65" w:history="1">
              <w:r>
                <w:rPr>
                  <w:color w:val="303030"/>
                  <w:vertAlign w:val="superscript"/>
                  <w:sz w:val="17"/>
                </w:rPr>
                <w:t>[65]</w:t>
              </w:r>
            </w:hyperlink>
          </w:p>
        </w:tc>
      </w:tr>
    </w:tbl>
    <w:p>
      <w:pPr>
        <w:spacing w:after="20" w:before="0" w:line="60" w:lineRule="exact"/>
      </w:pPr>
      <w:r>
        <w:rPr>
          <w:sz w:val="6"/>
        </w:rPr>
      </w:r>
    </w:p>
    <w:p>
      <w:pPr>
        <w:pStyle w:val="Heading1"/>
        <w:keepNext/>
        <w:keepLines/>
        <w:pageBreakBefore w:val="0"/>
      </w:pPr>
      <w:r>
        <w:t>6. Hoe deze classificatie daadwerkelijk gebruiken</w:t>
      </w:r>
    </w:p>
    <w:p>
      <w:pPr>
        <w:keepNext/>
        <w:keepLines/>
      </w:pPr>
      <w:r>
        <w:t xml:space="preserve">Mijn advies is om </w:t>
      </w:r>
      <w:r>
        <w:rPr>
          <w:b/>
        </w:rPr>
        <w:t>niet één definitief kwaliteitslabel aan een protocolcode te hangen</w:t>
      </w:r>
      <w:r>
        <w:t>, maar twee afzonderlijke beoordelingen te bewaren:</w:t>
      </w:r>
    </w:p>
    <w:tbl>
      <w:tblPr>
        <w:tblW w:type="auto" w:w="0"/>
        <w:jc w:val="center"/>
        <w:tblLayout w:type="fixed"/>
        <w:tblLook w:firstColumn="1" w:firstRow="1" w:lastColumn="0" w:lastRow="0" w:noHBand="0" w:noVBand="1" w:val="04A0"/>
        <w:tblBorders>
          <w:top w:val="single" w:sz="4" w:color="D3D3D3"/>
          <w:left w:val="single" w:sz="4" w:color="D3D3D3"/>
          <w:bottom w:val="single" w:sz="4" w:color="D3D3D3"/>
          <w:right w:val="single" w:sz="4" w:color="D3D3D3"/>
          <w:insideH w:val="single" w:sz="4" w:color="D3D3D3"/>
          <w:insideV w:val="single" w:sz="4" w:color="D3D3D3"/>
        </w:tblBorders>
        <w:tblCellMar>
          <w:top w:w="85" w:type="dxa"/>
          <w:bottom w:w="85" w:type="dxa"/>
          <w:left w:w="95" w:type="dxa"/>
          <w:right w:w="95" w:type="dxa"/>
        </w:tblCellMar>
      </w:tblPr>
      <w:tblGrid>
        <w:gridCol w:w="2835"/>
        <w:gridCol w:w="7030"/>
      </w:tblGrid>
      <w:tr>
        <w:trPr>
          <w:cantSplit/>
          <w:tblHeader w:val="true"/>
        </w:trPr>
        <w:tc>
          <w:tcPr>
            <w:tcW w:type="dxa" w:w="2835"/>
            <w:vAlign w:val="top"/>
            <w:shd w:fill="E6E6E6"/>
          </w:tcPr>
          <w:p>
            <w:pPr>
              <w:pStyle w:val="TableText"/>
              <w:keepNext/>
            </w:pPr>
            <w:r>
              <w:rPr>
                <w:b/>
              </w:rPr>
              <w:t>Beoordeling</w:t>
            </w:r>
          </w:p>
        </w:tc>
        <w:tc>
          <w:tcPr>
            <w:tcW w:type="dxa" w:w="7030"/>
            <w:vAlign w:val="top"/>
            <w:shd w:fill="E6E6E6"/>
          </w:tcPr>
          <w:p>
            <w:pPr>
              <w:pStyle w:val="TableText"/>
              <w:keepNext/>
            </w:pPr>
            <w:r>
              <w:rPr>
                <w:b/>
              </w:rPr>
              <w:t>Wat je vastlegt</w:t>
            </w:r>
          </w:p>
        </w:tc>
      </w:tr>
      <w:tr>
        <w:trPr>
          <w:cantSplit/>
        </w:trPr>
        <w:tc>
          <w:tcPr>
            <w:tcW w:type="dxa" w:w="2835"/>
            <w:vAlign w:val="top"/>
          </w:tcPr>
          <w:p>
            <w:pPr>
              <w:pStyle w:val="TableText"/>
              <w:keepNext w:val="0"/>
              <w:keepLines/>
            </w:pPr>
            <w:r>
              <w:rPr>
                <w:b/>
              </w:rPr>
              <w:t>Protocolgeschiktheid</w:t>
            </w:r>
          </w:p>
        </w:tc>
        <w:tc>
          <w:tcPr>
            <w:tcW w:type="dxa" w:w="7030"/>
            <w:vAlign w:val="top"/>
          </w:tcPr>
          <w:p>
            <w:pPr>
              <w:pStyle w:val="TableText"/>
              <w:keepNext w:val="0"/>
              <w:keepLines/>
            </w:pPr>
            <w:r>
              <w:t>Het hierboven beschreven gebruik: V, I, TV, TA of TK, met eventuele deelmethoden en voorwaarden.</w:t>
            </w:r>
          </w:p>
        </w:tc>
      </w:tr>
      <w:tr>
        <w:trPr>
          <w:cantSplit/>
        </w:trPr>
        <w:tc>
          <w:tcPr>
            <w:tcW w:type="dxa" w:w="2835"/>
            <w:vAlign w:val="top"/>
            <w:shd w:fill="F7F7F7"/>
          </w:tcPr>
          <w:p>
            <w:pPr>
              <w:pStyle w:val="TableText"/>
              <w:keepNext w:val="0"/>
              <w:keepLines/>
            </w:pPr>
            <w:r>
              <w:rPr>
                <w:b/>
              </w:rPr>
              <w:t>Geschiktheid van de geleverde gegevens</w:t>
            </w:r>
          </w:p>
        </w:tc>
        <w:tc>
          <w:tcPr>
            <w:tcW w:type="dxa" w:w="7030"/>
            <w:vAlign w:val="top"/>
            <w:shd w:fill="F7F7F7"/>
          </w:tcPr>
          <w:p>
            <w:pPr>
              <w:pStyle w:val="TableText"/>
              <w:keepNext w:val="0"/>
              <w:keepLines/>
            </w:pPr>
            <w:r>
              <w:t>Of voor de betreffende soort, het gebied en de periode de benodigde bezoeken, meetlocaties, inspanning, meeteenheden en kwaliteitsinformatie daadwerkelijk beschikbaar zijn.</w:t>
            </w:r>
          </w:p>
        </w:tc>
      </w:tr>
    </w:tbl>
    <w:p>
      <w:pPr>
        <w:spacing w:after="20" w:before="0" w:line="60" w:lineRule="exact"/>
      </w:pPr>
      <w:r>
        <w:rPr>
          <w:sz w:val="6"/>
        </w:rPr>
      </w:r>
    </w:p>
    <w:p>
      <w:r>
        <w:t>Voor toelating tot een trendanalyse zou ik vervolgens verlangen dat de onderzoekseenheden en bezoeken reconstrueerbaar zijn, dat niet-detecties van ontbrekende bezoeken kunnen worden onderscheiden en dat methodewijzigingen verantwoord zijn verwerkt. De NDFF bevestigt dat bruikbare nulwaarnemingen alleen kunnen worden afgeleid uit datasets met voldoende sterke protocollen en metadata.</w:t>
      </w:r>
      <w:r>
        <w:t xml:space="preserve"> </w:t>
      </w:r>
      <w:hyperlink w:anchor="bron_55" w:history="1">
        <w:r>
          <w:rPr>
            <w:color w:val="303030"/>
            <w:vertAlign w:val="superscript"/>
            <w:sz w:val="17"/>
          </w:rPr>
          <w:t>[55]</w:t>
        </w:r>
      </w:hyperlink>
    </w:p>
    <w:p>
      <w:r>
        <w:t xml:space="preserve">Daarna moet de analyse aantonen voor </w:t>
      </w:r>
      <w:r>
        <w:rPr>
          <w:b/>
        </w:rPr>
        <w:t>welke soort, welk gebied, welke periode en welke meetvariabele</w:t>
      </w:r>
      <w:r>
        <w:t xml:space="preserve"> de conclusie geldt, met een onzekerheidsinterval en controle op vertekening. Ook een gestandaardiseerd meetnet kan veranderende detectie bevatten; de protocolnaam neemt die toets niet weg.</w:t>
      </w:r>
      <w:r>
        <w:t xml:space="preserve"> </w:t>
      </w:r>
      <w:hyperlink w:anchor="bron_16" w:history="1">
        <w:r>
          <w:rPr>
            <w:color w:val="303030"/>
            <w:vertAlign w:val="superscript"/>
            <w:sz w:val="17"/>
          </w:rPr>
          <w:t>[16]</w:t>
        </w:r>
      </w:hyperlink>
      <w:r>
        <w:rPr>
          <w:vertAlign w:val="superscript"/>
        </w:rPr>
        <w:t>,</w:t>
      </w:r>
      <w:hyperlink w:anchor="bron_18" w:history="1">
        <w:r>
          <w:rPr>
            <w:color w:val="303030"/>
            <w:vertAlign w:val="superscript"/>
            <w:sz w:val="17"/>
          </w:rPr>
          <w:t>[18]</w:t>
        </w:r>
      </w:hyperlink>
    </w:p>
    <w:p>
      <w:r>
        <w:rPr>
          <w:b/>
        </w:rPr>
        <w:t>Ten slotte: geen van deze 54 protocolcodes bewijst op zichzelf een causaal beheereffect.</w:t>
      </w:r>
      <w:r>
        <w:t xml:space="preserve"> Een betrouwbare trend kan laten zien dát iets verandert. Om vast te stellen dat begrazing, maaien, vernatten of een andere ingreep die verandering veroorzaakt, is een aanvullende onderzoeksopzet nodig met een geloofwaardige vergelijking. Monitoring en effectevaluatie moeten daarom vanuit de concrete beheervraag worden ontworpen.</w:t>
      </w:r>
      <w:r>
        <w:t xml:space="preserve"> </w:t>
      </w:r>
      <w:hyperlink w:anchor="bron_66" w:history="1">
        <w:r>
          <w:rPr>
            <w:color w:val="303030"/>
            <w:vertAlign w:val="superscript"/>
            <w:sz w:val="17"/>
          </w:rPr>
          <w:t>[66]</w:t>
        </w:r>
      </w:hyperlink>
    </w:p>
    <w:p>
      <w:pPr>
        <w:pStyle w:val="Heading1"/>
        <w:pageBreakBefore/>
      </w:pPr>
      <w:r>
        <w:t>Bronnen</w:t>
      </w:r>
    </w:p>
    <w:p>
      <w:pPr>
        <w:pStyle w:val="SourceText"/>
        <w:keepLines/>
        <w:ind w:left="425" w:hanging="425"/>
      </w:pPr>
      <w:bookmarkStart w:id="1" w:name="bron_1"/>
      <w:r>
        <w:t>[1]</w:t>
        <w:tab/>
      </w:r>
      <w:hyperlink r:id="rId10" w:history="1">
        <w:r>
          <w:rPr>
            <w:color w:val="303030"/>
            <w:u w:val="single"/>
          </w:rPr>
          <w:t>NDFF (pagina bijgewerkt 10 juni 2026). Databestanden in de NDFF; NEM-gegevens in NDFF en beperkingen voor trendberekening.</w:t>
        </w:r>
      </w:hyperlink>
      <w:bookmarkEnd w:id="1"/>
    </w:p>
    <w:p>
      <w:pPr>
        <w:pStyle w:val="SourceText"/>
        <w:keepLines/>
        <w:ind w:left="425" w:hanging="425"/>
      </w:pPr>
      <w:bookmarkStart w:id="2" w:name="bron_2"/>
      <w:r>
        <w:t>[2]</w:t>
        <w:tab/>
      </w:r>
      <w:hyperlink r:id="rId11" w:history="1">
        <w:r>
          <w:rPr>
            <w:color w:val="303030"/>
            <w:u w:val="single"/>
          </w:rPr>
          <w:t>CBS (z.d.). Zoogdierenstatistiek; gestandaardiseerde tellingen van dagactieve zoogdieren.</w:t>
        </w:r>
      </w:hyperlink>
      <w:bookmarkEnd w:id="2"/>
    </w:p>
    <w:p>
      <w:pPr>
        <w:pStyle w:val="SourceText"/>
        <w:keepLines/>
        <w:ind w:left="425" w:hanging="425"/>
      </w:pPr>
      <w:bookmarkStart w:id="3" w:name="bron_3"/>
      <w:r>
        <w:t>[3]</w:t>
        <w:tab/>
      </w:r>
      <w:hyperlink r:id="rId12" w:history="1">
        <w:r>
          <w:rPr>
            <w:color w:val="303030"/>
            <w:u w:val="single"/>
          </w:rPr>
          <w:t>NDFF (z.d.). 03.201 Landelijk Meetnet Vlinders (NEM)</w:t>
        </w:r>
      </w:hyperlink>
      <w:bookmarkEnd w:id="3"/>
    </w:p>
    <w:p>
      <w:pPr>
        <w:pStyle w:val="SourceText"/>
        <w:keepLines/>
        <w:ind w:left="425" w:hanging="425"/>
      </w:pPr>
      <w:bookmarkStart w:id="4" w:name="bron_4"/>
      <w:r>
        <w:t>[4]</w:t>
        <w:tab/>
      </w:r>
      <w:hyperlink r:id="rId13" w:history="1">
        <w:r>
          <w:rPr>
            <w:color w:val="303030"/>
            <w:u w:val="single"/>
          </w:rPr>
          <w:t>NDFF (z.d.). 03.203 Landelijk Meetprogramma Nachtvlinders (NEM)</w:t>
        </w:r>
      </w:hyperlink>
      <w:bookmarkEnd w:id="4"/>
    </w:p>
    <w:p>
      <w:pPr>
        <w:pStyle w:val="SourceText"/>
        <w:keepLines/>
        <w:ind w:left="425" w:hanging="425"/>
      </w:pPr>
      <w:bookmarkStart w:id="5" w:name="bron_5"/>
      <w:r>
        <w:t>[5]</w:t>
        <w:tab/>
      </w:r>
      <w:hyperlink r:id="rId14" w:history="1">
        <w:r>
          <w:rPr>
            <w:color w:val="303030"/>
            <w:u w:val="single"/>
          </w:rPr>
          <w:t>De Vlinderstichting (z.d.). Meetnet Libellen</w:t>
        </w:r>
      </w:hyperlink>
      <w:bookmarkEnd w:id="5"/>
    </w:p>
    <w:p>
      <w:pPr>
        <w:pStyle w:val="SourceText"/>
        <w:keepLines/>
        <w:ind w:left="425" w:hanging="425"/>
      </w:pPr>
      <w:bookmarkStart w:id="6" w:name="bron_6"/>
      <w:r>
        <w:t>[6]</w:t>
        <w:tab/>
      </w:r>
      <w:hyperlink r:id="rId15" w:history="1">
        <w:r>
          <w:rPr>
            <w:color w:val="303030"/>
            <w:u w:val="single"/>
          </w:rPr>
          <w:t>RAVON (z.d.). Reptielen: monitoring</w:t>
        </w:r>
      </w:hyperlink>
      <w:bookmarkEnd w:id="6"/>
    </w:p>
    <w:p>
      <w:pPr>
        <w:pStyle w:val="SourceText"/>
        <w:keepLines/>
        <w:ind w:left="425" w:hanging="425"/>
      </w:pPr>
      <w:bookmarkStart w:id="7" w:name="bron_7"/>
      <w:r>
        <w:t>[7]</w:t>
        <w:tab/>
      </w:r>
      <w:hyperlink r:id="rId16" w:history="1">
        <w:r>
          <w:rPr>
            <w:color w:val="303030"/>
            <w:u w:val="single"/>
          </w:rPr>
          <w:t>RAVON (2023). Handleiding invoerapp meetprogramma reptielen</w:t>
        </w:r>
      </w:hyperlink>
      <w:bookmarkEnd w:id="7"/>
    </w:p>
    <w:p>
      <w:pPr>
        <w:pStyle w:val="SourceText"/>
        <w:keepLines/>
        <w:ind w:left="425" w:hanging="425"/>
      </w:pPr>
      <w:bookmarkStart w:id="8" w:name="bron_8"/>
      <w:r>
        <w:t>[8]</w:t>
        <w:tab/>
      </w:r>
      <w:hyperlink r:id="rId17" w:history="1">
        <w:r>
          <w:rPr>
            <w:color w:val="303030"/>
            <w:u w:val="single"/>
          </w:rPr>
          <w:t>NDFF (z.d.). 11.201 Meetnet Bospaddenstoelen (NEM)</w:t>
        </w:r>
      </w:hyperlink>
      <w:bookmarkEnd w:id="8"/>
    </w:p>
    <w:p>
      <w:pPr>
        <w:pStyle w:val="SourceText"/>
        <w:keepLines/>
        <w:ind w:left="425" w:hanging="425"/>
      </w:pPr>
      <w:bookmarkStart w:id="9" w:name="bron_9"/>
      <w:r>
        <w:t>[9]</w:t>
        <w:tab/>
      </w:r>
      <w:hyperlink r:id="rId18" w:history="1">
        <w:r>
          <w:rPr>
            <w:color w:val="303030"/>
            <w:u w:val="single"/>
          </w:rPr>
          <w:t>CBS (z.d.). Paddenstoelenstatistiek Relevante passage: Doel; Soort onderzoek; Volgtijdelijke vergelijkbaarheid.</w:t>
        </w:r>
      </w:hyperlink>
      <w:bookmarkEnd w:id="9"/>
    </w:p>
    <w:p>
      <w:pPr>
        <w:pStyle w:val="SourceText"/>
        <w:keepLines/>
        <w:ind w:left="425" w:hanging="425"/>
      </w:pPr>
      <w:bookmarkStart w:id="10" w:name="bron_10"/>
      <w:r>
        <w:t>[10]</w:t>
        <w:tab/>
      </w:r>
      <w:hyperlink r:id="rId19" w:history="1">
        <w:r>
          <w:rPr>
            <w:color w:val="303030"/>
            <w:u w:val="single"/>
          </w:rPr>
          <w:t>NDFF (z.d.). 12.211 Landelijk Meetnet Flora-aandachtssoorten (LMF-A)</w:t>
        </w:r>
      </w:hyperlink>
      <w:bookmarkEnd w:id="10"/>
    </w:p>
    <w:p>
      <w:pPr>
        <w:pStyle w:val="SourceText"/>
        <w:keepLines/>
        <w:ind w:left="425" w:hanging="425"/>
      </w:pPr>
      <w:bookmarkStart w:id="11" w:name="bron_11"/>
      <w:r>
        <w:t>[11]</w:t>
        <w:tab/>
      </w:r>
      <w:hyperlink r:id="rId20" w:history="1">
        <w:r>
          <w:rPr>
            <w:color w:val="303030"/>
            <w:u w:val="single"/>
          </w:rPr>
          <w:t>Sovon (z.d.). Punt Transect Telling (PTT)</w:t>
        </w:r>
      </w:hyperlink>
      <w:bookmarkEnd w:id="11"/>
    </w:p>
    <w:p>
      <w:pPr>
        <w:pStyle w:val="SourceText"/>
        <w:keepLines/>
        <w:ind w:left="425" w:hanging="425"/>
      </w:pPr>
      <w:bookmarkStart w:id="12" w:name="bron_12"/>
      <w:r>
        <w:t>[12]</w:t>
        <w:tab/>
      </w:r>
      <w:hyperlink r:id="rId21" w:history="1">
        <w:r>
          <w:rPr>
            <w:color w:val="303030"/>
            <w:u w:val="single"/>
          </w:rPr>
          <w:t>NDFF (z.d.). 17.201 Monitoren van vleermuizen in de winter (NEM)</w:t>
        </w:r>
      </w:hyperlink>
      <w:bookmarkEnd w:id="12"/>
    </w:p>
    <w:p>
      <w:pPr>
        <w:pStyle w:val="SourceText"/>
        <w:keepLines/>
        <w:ind w:left="425" w:hanging="425"/>
      </w:pPr>
      <w:bookmarkStart w:id="13" w:name="bron_13"/>
      <w:r>
        <w:t>[13]</w:t>
        <w:tab/>
      </w:r>
      <w:hyperlink r:id="rId22" w:history="1">
        <w:r>
          <w:rPr>
            <w:color w:val="303030"/>
            <w:u w:val="single"/>
          </w:rPr>
          <w:t>NDFF (z.d.). 17.202 Monitoren van vleermuizen op zolders (NEM)</w:t>
        </w:r>
      </w:hyperlink>
      <w:bookmarkEnd w:id="13"/>
    </w:p>
    <w:p>
      <w:pPr>
        <w:pStyle w:val="SourceText"/>
        <w:keepLines/>
        <w:ind w:left="425" w:hanging="425"/>
      </w:pPr>
      <w:bookmarkStart w:id="14" w:name="bron_14"/>
      <w:r>
        <w:t>[14]</w:t>
        <w:tab/>
      </w:r>
      <w:hyperlink r:id="rId23" w:history="1">
        <w:r>
          <w:rPr>
            <w:color w:val="303030"/>
            <w:u w:val="single"/>
          </w:rPr>
          <w:t>CBS (2023). Meetprogramma’s voor flora en fauna 2022: Meetprogramma’s Relevante passage: Landzoogdieren: DAZ en konijnentellingen.</w:t>
        </w:r>
      </w:hyperlink>
      <w:bookmarkEnd w:id="14"/>
    </w:p>
    <w:p>
      <w:pPr>
        <w:pStyle w:val="SourceText"/>
        <w:keepLines/>
        <w:ind w:left="425" w:hanging="425"/>
      </w:pPr>
      <w:bookmarkStart w:id="15" w:name="bron_15"/>
      <w:r>
        <w:t>[15]</w:t>
        <w:tab/>
      </w:r>
      <w:hyperlink r:id="rId24" w:history="1">
        <w:r>
          <w:rPr>
            <w:color w:val="303030"/>
            <w:u w:val="single"/>
          </w:rPr>
          <w:t>NDFF (z.d.). 17.208 Vleermuistransecttelling (NEM)</w:t>
        </w:r>
      </w:hyperlink>
      <w:bookmarkEnd w:id="15"/>
    </w:p>
    <w:p>
      <w:pPr>
        <w:pStyle w:val="SourceText"/>
        <w:keepLines/>
        <w:ind w:left="425" w:hanging="425"/>
      </w:pPr>
      <w:bookmarkStart w:id="16" w:name="bron_16"/>
      <w:r>
        <w:t>[16]</w:t>
        <w:tab/>
      </w:r>
      <w:hyperlink r:id="rId25" w:history="1">
        <w:r>
          <w:rPr>
            <w:color w:val="303030"/>
            <w:u w:val="single"/>
          </w:rPr>
          <w:t>CBS (2026). Meetprogramma’s voor flora en fauna 2025: Meetprogramma’s Relevante passage: § 7.2 (braakballen) en § 7.14 (weekdieren).</w:t>
        </w:r>
      </w:hyperlink>
      <w:bookmarkEnd w:id="16"/>
    </w:p>
    <w:p>
      <w:pPr>
        <w:pStyle w:val="SourceText"/>
        <w:keepLines/>
        <w:ind w:left="425" w:hanging="425"/>
      </w:pPr>
      <w:bookmarkStart w:id="17" w:name="bron_17"/>
      <w:r>
        <w:t>[17]</w:t>
        <w:tab/>
      </w:r>
      <w:hyperlink r:id="rId26" w:history="1">
        <w:r>
          <w:rPr>
            <w:color w:val="303030"/>
            <w:u w:val="single"/>
          </w:rPr>
          <w:t>NDFF (29 september 2025). 17.210 Uitvliegtellingen meervleermuizen (NEM)</w:t>
        </w:r>
      </w:hyperlink>
      <w:bookmarkEnd w:id="17"/>
    </w:p>
    <w:p>
      <w:pPr>
        <w:pStyle w:val="SourceText"/>
        <w:keepLines/>
        <w:ind w:left="425" w:hanging="425"/>
      </w:pPr>
      <w:bookmarkStart w:id="18" w:name="bron_18"/>
      <w:r>
        <w:t>[18]</w:t>
        <w:tab/>
      </w:r>
      <w:hyperlink r:id="rId27" w:history="1">
        <w:r>
          <w:rPr>
            <w:color w:val="303030"/>
            <w:u w:val="single"/>
          </w:rPr>
          <w:t>Van Strien, A.J., Van Swaay, C.A.M. &amp; Termaat, T. (2013). Opportunistic citizen science data of animal species produce reliable estimates of distribution trends if analysed with occupancy models. Journal of Applied Ecology 50:1450–1458. DOI: 10.1111/1365-2664.12158.</w:t>
        </w:r>
      </w:hyperlink>
      <w:bookmarkEnd w:id="18"/>
    </w:p>
    <w:p>
      <w:pPr>
        <w:pStyle w:val="SourceText"/>
        <w:keepLines/>
        <w:ind w:left="425" w:hanging="425"/>
      </w:pPr>
      <w:bookmarkStart w:id="19" w:name="bron_19"/>
      <w:r>
        <w:t>[19]</w:t>
        <w:tab/>
      </w:r>
      <w:hyperlink r:id="rId28" w:history="1">
        <w:r>
          <w:rPr>
            <w:color w:val="303030"/>
            <w:u w:val="single"/>
          </w:rPr>
          <w:t>NDFF (z.d.). 01.201 Monitoring van amfibieën in Nederland; algemene en soortgerichte deelprotocollen.</w:t>
        </w:r>
      </w:hyperlink>
      <w:bookmarkEnd w:id="19"/>
    </w:p>
    <w:p>
      <w:pPr>
        <w:pStyle w:val="SourceText"/>
        <w:keepLines/>
        <w:ind w:left="425" w:hanging="425"/>
      </w:pPr>
      <w:bookmarkStart w:id="20" w:name="bron_20"/>
      <w:r>
        <w:t>[20]</w:t>
        <w:tab/>
      </w:r>
      <w:hyperlink r:id="rId29" w:history="1">
        <w:r>
          <w:rPr>
            <w:color w:val="303030"/>
            <w:u w:val="single"/>
          </w:rPr>
          <w:t>Stichting ANEMOON (z.d.). HabSlak-protocollen</w:t>
        </w:r>
      </w:hyperlink>
      <w:bookmarkEnd w:id="20"/>
    </w:p>
    <w:p>
      <w:pPr>
        <w:pStyle w:val="SourceText"/>
        <w:keepLines/>
        <w:ind w:left="425" w:hanging="425"/>
      </w:pPr>
      <w:bookmarkStart w:id="21" w:name="bron_21"/>
      <w:r>
        <w:t>[21]</w:t>
        <w:tab/>
      </w:r>
      <w:hyperlink r:id="rId30" w:history="1">
        <w:r>
          <w:rPr>
            <w:color w:val="303030"/>
            <w:u w:val="single"/>
          </w:rPr>
          <w:t>NDFF (z.d.). 11.202 Zeereeppaddenstoelen</w:t>
        </w:r>
      </w:hyperlink>
      <w:bookmarkEnd w:id="21"/>
    </w:p>
    <w:p>
      <w:pPr>
        <w:pStyle w:val="SourceText"/>
        <w:keepLines/>
        <w:ind w:left="425" w:hanging="425"/>
      </w:pPr>
      <w:bookmarkStart w:id="22" w:name="bron_22"/>
      <w:r>
        <w:t>[22]</w:t>
        <w:tab/>
      </w:r>
      <w:hyperlink r:id="rId31" w:history="1">
        <w:r>
          <w:rPr>
            <w:color w:val="303030"/>
            <w:u w:val="single"/>
          </w:rPr>
          <w:t>NDFF (z.d.). 12.204 Het Nieuwe Strepen FLORON (NEM)</w:t>
        </w:r>
      </w:hyperlink>
      <w:bookmarkEnd w:id="22"/>
    </w:p>
    <w:p>
      <w:pPr>
        <w:pStyle w:val="SourceText"/>
        <w:keepLines/>
        <w:ind w:left="425" w:hanging="425"/>
      </w:pPr>
      <w:bookmarkStart w:id="23" w:name="bron_23"/>
      <w:r>
        <w:t>[23]</w:t>
        <w:tab/>
      </w:r>
      <w:hyperlink r:id="rId32" w:history="1">
        <w:r>
          <w:rPr>
            <w:color w:val="303030"/>
            <w:u w:val="single"/>
          </w:rPr>
          <w:t>NDFF (z.d.). 13.201 Meetnet Beek- en poldervissen (NEM)</w:t>
        </w:r>
      </w:hyperlink>
      <w:bookmarkEnd w:id="23"/>
    </w:p>
    <w:p>
      <w:pPr>
        <w:pStyle w:val="SourceText"/>
        <w:keepLines/>
        <w:ind w:left="425" w:hanging="425"/>
      </w:pPr>
      <w:bookmarkStart w:id="24" w:name="bron_24"/>
      <w:r>
        <w:t>[24]</w:t>
        <w:tab/>
      </w:r>
      <w:hyperlink r:id="rId33" w:history="1">
        <w:r>
          <w:rPr>
            <w:color w:val="303030"/>
            <w:u w:val="single"/>
          </w:rPr>
          <w:t>Compendium voor de Leefomgeving / CBS (z.d.). Beek- en poldervissen van de Habitatrichtlijn, 1990–2023</w:t>
        </w:r>
      </w:hyperlink>
      <w:bookmarkEnd w:id="24"/>
    </w:p>
    <w:p>
      <w:pPr>
        <w:pStyle w:val="SourceText"/>
        <w:keepLines/>
        <w:ind w:left="425" w:hanging="425"/>
      </w:pPr>
      <w:bookmarkStart w:id="25" w:name="bron_25"/>
      <w:r>
        <w:t>[25]</w:t>
        <w:tab/>
      </w:r>
      <w:hyperlink r:id="rId34" w:history="1">
        <w:r>
          <w:rPr>
            <w:color w:val="303030"/>
            <w:u w:val="single"/>
          </w:rPr>
          <w:t>Ter Harmsel, R., Kranenbarg, J. &amp; Schippers, T.C. / RAVON (2021, versie 3.0). Handleiding meetnet amfibieën en vissen in Natura 2000-gebieden</w:t>
        </w:r>
      </w:hyperlink>
      <w:bookmarkEnd w:id="25"/>
    </w:p>
    <w:p>
      <w:pPr>
        <w:pStyle w:val="SourceText"/>
        <w:keepLines/>
        <w:ind w:left="425" w:hanging="425"/>
      </w:pPr>
      <w:bookmarkStart w:id="26" w:name="bron_26"/>
      <w:r>
        <w:t>[26]</w:t>
        <w:tab/>
      </w:r>
      <w:hyperlink r:id="rId35" w:history="1">
        <w:r>
          <w:rPr>
            <w:color w:val="303030"/>
            <w:u w:val="single"/>
          </w:rPr>
          <w:t>NDFF (z.d.). 17.002 Braakbalonderzoek (NEM)</w:t>
        </w:r>
      </w:hyperlink>
      <w:bookmarkEnd w:id="26"/>
    </w:p>
    <w:p>
      <w:pPr>
        <w:pStyle w:val="SourceText"/>
        <w:keepLines/>
        <w:ind w:left="425" w:hanging="425"/>
      </w:pPr>
      <w:bookmarkStart w:id="27" w:name="bron_27"/>
      <w:r>
        <w:t>[27]</w:t>
        <w:tab/>
      </w:r>
      <w:hyperlink r:id="rId36" w:history="1">
        <w:r>
          <w:rPr>
            <w:color w:val="303030"/>
            <w:u w:val="single"/>
          </w:rPr>
          <w:t>Paddenstoelenonderzoek Nederland / Nederlandse Mycologische Vereniging (z.d.). Meetnet bospaddenstoelen</w:t>
        </w:r>
      </w:hyperlink>
      <w:bookmarkEnd w:id="27"/>
    </w:p>
    <w:p>
      <w:pPr>
        <w:pStyle w:val="SourceText"/>
        <w:keepLines/>
        <w:ind w:left="425" w:hanging="425"/>
      </w:pPr>
      <w:bookmarkStart w:id="28" w:name="bron_28"/>
      <w:r>
        <w:t>[28]</w:t>
        <w:tab/>
      </w:r>
      <w:hyperlink r:id="rId37" w:history="1">
        <w:r>
          <w:rPr>
            <w:color w:val="303030"/>
            <w:u w:val="single"/>
          </w:rPr>
          <w:t>NDFF (z.d.). 17.207 Verspreidingsonderzoek bever en otter (NEM)</w:t>
        </w:r>
      </w:hyperlink>
      <w:bookmarkEnd w:id="28"/>
    </w:p>
    <w:p>
      <w:pPr>
        <w:pStyle w:val="SourceText"/>
        <w:keepLines/>
        <w:ind w:left="425" w:hanging="425"/>
      </w:pPr>
      <w:bookmarkStart w:id="29" w:name="bron_29"/>
      <w:r>
        <w:t>[29]</w:t>
        <w:tab/>
      </w:r>
      <w:hyperlink r:id="rId38" w:history="1">
        <w:r>
          <w:rPr>
            <w:color w:val="303030"/>
            <w:u w:val="single"/>
          </w:rPr>
          <w:t>NDFF (z.d.). 12.202 Landelijk Meetnet Flora – Milieu- en Natuurkwaliteit</w:t>
        </w:r>
      </w:hyperlink>
      <w:bookmarkEnd w:id="29"/>
    </w:p>
    <w:p>
      <w:pPr>
        <w:pStyle w:val="SourceText"/>
        <w:keepLines/>
        <w:ind w:left="425" w:hanging="425"/>
      </w:pPr>
      <w:bookmarkStart w:id="30" w:name="bron_30"/>
      <w:r>
        <w:t>[30]</w:t>
        <w:tab/>
      </w:r>
      <w:hyperlink r:id="rId39" w:history="1">
        <w:r>
          <w:rPr>
            <w:color w:val="303030"/>
            <w:u w:val="single"/>
          </w:rPr>
          <w:t>BIJ12 (pagina bijgewerkt 18 april 2025). Werkwijze monitoring en beoordeling Natuurnetwerk en Natura 2000</w:t>
        </w:r>
      </w:hyperlink>
      <w:bookmarkEnd w:id="30"/>
    </w:p>
    <w:p>
      <w:pPr>
        <w:pStyle w:val="SourceText"/>
        <w:keepLines/>
        <w:ind w:left="425" w:hanging="425"/>
      </w:pPr>
      <w:bookmarkStart w:id="31" w:name="bron_31"/>
      <w:r>
        <w:t>[31]</w:t>
        <w:tab/>
      </w:r>
      <w:hyperlink r:id="rId40" w:history="1">
        <w:r>
          <w:rPr>
            <w:color w:val="303030"/>
            <w:u w:val="single"/>
          </w:rPr>
          <w:t>NDFF (z.d.). 02.202 Korstmossen op steen, heiden en stuifzanden (NEM)</w:t>
        </w:r>
      </w:hyperlink>
      <w:bookmarkEnd w:id="31"/>
    </w:p>
    <w:p>
      <w:pPr>
        <w:pStyle w:val="SourceText"/>
        <w:keepLines/>
        <w:ind w:left="425" w:hanging="425"/>
      </w:pPr>
      <w:bookmarkStart w:id="32" w:name="bron_32"/>
      <w:r>
        <w:t>[32]</w:t>
        <w:tab/>
      </w:r>
      <w:hyperlink r:id="rId41" w:history="1">
        <w:r>
          <w:rPr>
            <w:color w:val="303030"/>
            <w:u w:val="single"/>
          </w:rPr>
          <w:t>NDFF (z.d.). 02.203 Provinciale epifytenmeetnetten mossen en korstmossen</w:t>
        </w:r>
      </w:hyperlink>
      <w:bookmarkEnd w:id="32"/>
    </w:p>
    <w:p>
      <w:pPr>
        <w:pStyle w:val="SourceText"/>
        <w:keepLines/>
        <w:ind w:left="425" w:hanging="425"/>
      </w:pPr>
      <w:bookmarkStart w:id="33" w:name="bron_33"/>
      <w:r>
        <w:t>[33]</w:t>
        <w:tab/>
      </w:r>
      <w:hyperlink r:id="rId42" w:history="1">
        <w:r>
          <w:rPr>
            <w:color w:val="303030"/>
            <w:u w:val="single"/>
          </w:rPr>
          <w:t>NDFF (z.d.). 12.205 Uniforme werkwijze monitoring natuurnetwerk (SNL)</w:t>
        </w:r>
      </w:hyperlink>
      <w:bookmarkEnd w:id="33"/>
    </w:p>
    <w:p>
      <w:pPr>
        <w:pStyle w:val="SourceText"/>
        <w:keepLines/>
        <w:ind w:left="425" w:hanging="425"/>
      </w:pPr>
      <w:bookmarkStart w:id="34" w:name="bron_34"/>
      <w:r>
        <w:t>[34]</w:t>
        <w:tab/>
      </w:r>
      <w:hyperlink r:id="rId43" w:history="1">
        <w:r>
          <w:rPr>
            <w:color w:val="303030"/>
            <w:u w:val="single"/>
          </w:rPr>
          <w:t>BLWG / Verspreidingsatlas (z.d.). Meetnet Mossen; geselecteerde kilometerhokken, tijdsbesteding en abundantieklassen.</w:t>
        </w:r>
      </w:hyperlink>
      <w:bookmarkEnd w:id="34"/>
    </w:p>
    <w:p>
      <w:pPr>
        <w:pStyle w:val="SourceText"/>
        <w:keepLines/>
        <w:ind w:left="425" w:hanging="425"/>
      </w:pPr>
      <w:bookmarkStart w:id="35" w:name="bron_35"/>
      <w:r>
        <w:t>[35]</w:t>
        <w:tab/>
      </w:r>
      <w:hyperlink r:id="rId44" w:history="1">
        <w:r>
          <w:rPr>
            <w:color w:val="303030"/>
            <w:u w:val="single"/>
          </w:rPr>
          <w:t>NDFF / GBIF (2018). NDFF Bryophyte monitoring. Metadata. DOI: 10.15468/zw3zbb.</w:t>
        </w:r>
      </w:hyperlink>
      <w:bookmarkEnd w:id="35"/>
    </w:p>
    <w:p>
      <w:pPr>
        <w:pStyle w:val="SourceText"/>
        <w:keepLines/>
        <w:ind w:left="425" w:hanging="425"/>
      </w:pPr>
      <w:bookmarkStart w:id="36" w:name="bron_36"/>
      <w:r>
        <w:t>[36]</w:t>
        <w:tab/>
      </w:r>
      <w:hyperlink r:id="rId45" w:history="1">
        <w:r>
          <w:rPr>
            <w:color w:val="303030"/>
            <w:u w:val="single"/>
          </w:rPr>
          <w:t>BLWG (z.d.). Onderzoek: Meetnet Mossen Relevante passage: Veldonderzoek en monitoring / Meetnet Mossen.</w:t>
        </w:r>
      </w:hyperlink>
      <w:bookmarkEnd w:id="36"/>
    </w:p>
    <w:p>
      <w:pPr>
        <w:pStyle w:val="SourceText"/>
        <w:keepLines/>
        <w:ind w:left="425" w:hanging="425"/>
      </w:pPr>
      <w:bookmarkStart w:id="37" w:name="bron_37"/>
      <w:r>
        <w:t>[37]</w:t>
        <w:tab/>
      </w:r>
      <w:hyperlink r:id="rId46" w:history="1">
        <w:r>
          <w:rPr>
            <w:color w:val="303030"/>
            <w:u w:val="single"/>
          </w:rPr>
          <w:t>NDFF (z.d.). 10.002 Environmental DNA-onderzoek</w:t>
        </w:r>
      </w:hyperlink>
      <w:bookmarkEnd w:id="37"/>
    </w:p>
    <w:p>
      <w:pPr>
        <w:pStyle w:val="SourceText"/>
        <w:keepLines/>
        <w:ind w:left="425" w:hanging="425"/>
      </w:pPr>
      <w:bookmarkStart w:id="38" w:name="bron_38"/>
      <w:r>
        <w:t>[38]</w:t>
        <w:tab/>
      </w:r>
      <w:hyperlink r:id="rId47" w:history="1">
        <w:r>
          <w:rPr>
            <w:color w:val="303030"/>
            <w:u w:val="single"/>
          </w:rPr>
          <w:t>Yates, M.C. (2025). A Framework to Unify the Relationship Between Numerical Abundance, Biomass, and Environmental DNA. Environmental DNA. DOI: 10.1002/edn3.70073</w:t>
        </w:r>
      </w:hyperlink>
      <w:bookmarkEnd w:id="38"/>
    </w:p>
    <w:p>
      <w:pPr>
        <w:pStyle w:val="SourceText"/>
        <w:keepLines/>
        <w:ind w:left="425" w:hanging="425"/>
      </w:pPr>
      <w:bookmarkStart w:id="39" w:name="bron_39"/>
      <w:r>
        <w:t>[39]</w:t>
        <w:tab/>
      </w:r>
      <w:hyperlink r:id="rId48" w:history="1">
        <w:r>
          <w:rPr>
            <w:color w:val="303030"/>
            <w:u w:val="single"/>
          </w:rPr>
          <w:t>NDFF (z.d.). 102.002 Jaarrond Tuintelling</w:t>
        </w:r>
      </w:hyperlink>
      <w:bookmarkEnd w:id="39"/>
    </w:p>
    <w:p>
      <w:pPr>
        <w:pStyle w:val="SourceText"/>
        <w:keepLines/>
        <w:ind w:left="425" w:hanging="425"/>
      </w:pPr>
      <w:bookmarkStart w:id="40" w:name="bron_40"/>
      <w:r>
        <w:t>[40]</w:t>
        <w:tab/>
      </w:r>
      <w:hyperlink r:id="rId49" w:history="1">
        <w:r>
          <w:rPr>
            <w:color w:val="303030"/>
            <w:u w:val="single"/>
          </w:rPr>
          <w:t>NDFF (z.d.). 12.001 Totaalproject FLORON</w:t>
        </w:r>
      </w:hyperlink>
      <w:bookmarkEnd w:id="40"/>
    </w:p>
    <w:p>
      <w:pPr>
        <w:pStyle w:val="SourceText"/>
        <w:keepLines/>
        <w:ind w:left="425" w:hanging="425"/>
      </w:pPr>
      <w:bookmarkStart w:id="41" w:name="bron_41"/>
      <w:r>
        <w:t>[41]</w:t>
        <w:tab/>
      </w:r>
      <w:hyperlink r:id="rId50" w:history="1">
        <w:r>
          <w:rPr>
            <w:color w:val="303030"/>
            <w:u w:val="single"/>
          </w:rPr>
          <w:t>NDFF (z.d.). 12.002 Bedreigde Soorten Project FLORON</w:t>
        </w:r>
      </w:hyperlink>
      <w:bookmarkEnd w:id="41"/>
    </w:p>
    <w:p>
      <w:pPr>
        <w:pStyle w:val="SourceText"/>
        <w:keepLines/>
        <w:ind w:left="425" w:hanging="425"/>
      </w:pPr>
      <w:bookmarkStart w:id="42" w:name="bron_42"/>
      <w:r>
        <w:t>[42]</w:t>
        <w:tab/>
      </w:r>
      <w:hyperlink r:id="rId51" w:history="1">
        <w:r>
          <w:rPr>
            <w:color w:val="303030"/>
            <w:u w:val="single"/>
          </w:rPr>
          <w:t>NDFF (z.d.). 12.003 Rode Lijst Project FLORON</w:t>
        </w:r>
      </w:hyperlink>
      <w:bookmarkEnd w:id="42"/>
    </w:p>
    <w:p>
      <w:pPr>
        <w:pStyle w:val="SourceText"/>
        <w:keepLines/>
        <w:ind w:left="425" w:hanging="425"/>
      </w:pPr>
      <w:bookmarkStart w:id="43" w:name="bron_43"/>
      <w:r>
        <w:t>[43]</w:t>
        <w:tab/>
      </w:r>
      <w:hyperlink r:id="rId52" w:history="1">
        <w:r>
          <w:rPr>
            <w:color w:val="303030"/>
            <w:u w:val="single"/>
          </w:rPr>
          <w:t>NDFF (z.d.). 12.007 Vegetatieopname</w:t>
        </w:r>
      </w:hyperlink>
      <w:bookmarkEnd w:id="43"/>
    </w:p>
    <w:p>
      <w:pPr>
        <w:pStyle w:val="SourceText"/>
        <w:keepLines/>
        <w:ind w:left="425" w:hanging="425"/>
      </w:pPr>
      <w:bookmarkStart w:id="44" w:name="bron_44"/>
      <w:r>
        <w:t>[44]</w:t>
        <w:tab/>
      </w:r>
      <w:hyperlink r:id="rId53" w:history="1">
        <w:r>
          <w:rPr>
            <w:color w:val="303030"/>
            <w:u w:val="single"/>
          </w:rPr>
          <w:t>Altenburg &amp; Wymenga (2020). Florakartering Terschelling Relevante passage: Voorbeeld van florakartering voor Staatsbosbeheer; geen bewijs voor alle records onder 12.015.</w:t>
        </w:r>
      </w:hyperlink>
      <w:bookmarkEnd w:id="44"/>
    </w:p>
    <w:p>
      <w:pPr>
        <w:pStyle w:val="SourceText"/>
        <w:keepLines/>
        <w:ind w:left="425" w:hanging="425"/>
      </w:pPr>
      <w:bookmarkStart w:id="45" w:name="bron_45"/>
      <w:r>
        <w:t>[45]</w:t>
        <w:tab/>
      </w:r>
      <w:hyperlink r:id="rId54" w:history="1">
        <w:r>
          <w:rPr>
            <w:color w:val="303030"/>
            <w:u w:val="single"/>
          </w:rPr>
          <w:t>NDFF (bijgewerkt 31 juli 2026). Overzicht waarnemingen met protocol; code- en naamregistratie.</w:t>
        </w:r>
      </w:hyperlink>
      <w:bookmarkEnd w:id="45"/>
    </w:p>
    <w:p>
      <w:pPr>
        <w:pStyle w:val="SourceText"/>
        <w:keepLines/>
        <w:ind w:left="425" w:hanging="425"/>
      </w:pPr>
      <w:bookmarkStart w:id="46" w:name="bron_46"/>
      <w:r>
        <w:t>[46]</w:t>
        <w:tab/>
      </w:r>
      <w:hyperlink r:id="rId55" w:history="1">
        <w:r>
          <w:rPr>
            <w:color w:val="303030"/>
            <w:u w:val="single"/>
          </w:rPr>
          <w:t>NDFF (z.d.). 17.506 Vleermuisprotocol 2021</w:t>
        </w:r>
      </w:hyperlink>
      <w:bookmarkEnd w:id="46"/>
    </w:p>
    <w:p>
      <w:pPr>
        <w:pStyle w:val="SourceText"/>
        <w:keepLines/>
        <w:ind w:left="425" w:hanging="425"/>
      </w:pPr>
      <w:bookmarkStart w:id="47" w:name="bron_47"/>
      <w:r>
        <w:t>[47]</w:t>
        <w:tab/>
      </w:r>
      <w:hyperlink r:id="rId56" w:history="1">
        <w:r>
          <w:rPr>
            <w:color w:val="303030"/>
            <w:u w:val="single"/>
          </w:rPr>
          <w:t>NDFF (z.d.). 03.003 Waarnemingen Tuinvlindertelling</w:t>
        </w:r>
      </w:hyperlink>
      <w:bookmarkEnd w:id="47"/>
    </w:p>
    <w:p>
      <w:pPr>
        <w:pStyle w:val="SourceText"/>
        <w:keepLines/>
        <w:ind w:left="425" w:hanging="425"/>
      </w:pPr>
      <w:bookmarkStart w:id="48" w:name="bron_48"/>
      <w:r>
        <w:t>[48]</w:t>
        <w:tab/>
      </w:r>
      <w:hyperlink r:id="rId57" w:history="1">
        <w:r>
          <w:rPr>
            <w:color w:val="303030"/>
            <w:u w:val="single"/>
          </w:rPr>
          <w:t>NDFF (z.d.). 102.005 LiveAtlas</w:t>
        </w:r>
      </w:hyperlink>
      <w:bookmarkEnd w:id="48"/>
    </w:p>
    <w:p>
      <w:pPr>
        <w:pStyle w:val="SourceText"/>
        <w:keepLines/>
        <w:ind w:left="425" w:hanging="425"/>
      </w:pPr>
      <w:bookmarkStart w:id="49" w:name="bron_49"/>
      <w:r>
        <w:t>[49]</w:t>
        <w:tab/>
      </w:r>
      <w:hyperlink r:id="rId58" w:history="1">
        <w:r>
          <w:rPr>
            <w:color w:val="303030"/>
            <w:u w:val="single"/>
          </w:rPr>
          <w:t>NDFF (z.d.). 102.007 Kwartiertellingen (dagvlinders, nachtvlinders, libellen en sprinkhanen)</w:t>
        </w:r>
      </w:hyperlink>
      <w:bookmarkEnd w:id="49"/>
    </w:p>
    <w:p>
      <w:pPr>
        <w:pStyle w:val="SourceText"/>
        <w:keepLines/>
        <w:ind w:left="425" w:hanging="425"/>
      </w:pPr>
      <w:bookmarkStart w:id="50" w:name="bron_50"/>
      <w:r>
        <w:t>[50]</w:t>
        <w:tab/>
      </w:r>
      <w:hyperlink r:id="rId59" w:history="1">
        <w:r>
          <w:rPr>
            <w:color w:val="303030"/>
            <w:u w:val="single"/>
          </w:rPr>
          <w:t>FLORON (z.d.). Nectarindex</w:t>
        </w:r>
      </w:hyperlink>
      <w:bookmarkEnd w:id="50"/>
    </w:p>
    <w:p>
      <w:pPr>
        <w:pStyle w:val="SourceText"/>
        <w:keepLines/>
        <w:ind w:left="425" w:hanging="425"/>
      </w:pPr>
      <w:bookmarkStart w:id="51" w:name="bron_51"/>
      <w:r>
        <w:t>[51]</w:t>
        <w:tab/>
      </w:r>
      <w:hyperlink r:id="rId60" w:history="1">
        <w:r>
          <w:rPr>
            <w:color w:val="303030"/>
            <w:u w:val="single"/>
          </w:rPr>
          <w:t>NDFF (z.d.). 17.505 Vleermuisprotocol 2017</w:t>
        </w:r>
      </w:hyperlink>
      <w:bookmarkEnd w:id="51"/>
    </w:p>
    <w:p>
      <w:pPr>
        <w:pStyle w:val="SourceText"/>
        <w:keepLines/>
        <w:ind w:left="425" w:hanging="425"/>
      </w:pPr>
      <w:bookmarkStart w:id="52" w:name="bron_52"/>
      <w:r>
        <w:t>[52]</w:t>
        <w:tab/>
      </w:r>
      <w:hyperlink r:id="rId61" w:history="1">
        <w:r>
          <w:rPr>
            <w:color w:val="303030"/>
            <w:u w:val="single"/>
          </w:rPr>
          <w:t>NDFF (z.d.). 03.001 Gebiedsgerichte inventarisaties dagvlinders</w:t>
        </w:r>
      </w:hyperlink>
      <w:bookmarkEnd w:id="52"/>
    </w:p>
    <w:p>
      <w:pPr>
        <w:pStyle w:val="SourceText"/>
        <w:keepLines/>
        <w:ind w:left="425" w:hanging="425"/>
      </w:pPr>
      <w:bookmarkStart w:id="53" w:name="bron_53"/>
      <w:r>
        <w:t>[53]</w:t>
        <w:tab/>
      </w:r>
      <w:hyperlink r:id="rId62" w:history="1">
        <w:r>
          <w:rPr>
            <w:color w:val="303030"/>
            <w:u w:val="single"/>
          </w:rPr>
          <w:t>NDFF (z.d.). 04.004 Atlasproject Nederlandse Mollusken</w:t>
        </w:r>
      </w:hyperlink>
      <w:bookmarkEnd w:id="53"/>
    </w:p>
    <w:p>
      <w:pPr>
        <w:pStyle w:val="SourceText"/>
        <w:keepLines/>
        <w:ind w:left="425" w:hanging="425"/>
      </w:pPr>
      <w:bookmarkStart w:id="54" w:name="bron_54"/>
      <w:r>
        <w:t>[54]</w:t>
        <w:tab/>
      </w:r>
      <w:hyperlink r:id="rId63" w:history="1">
        <w:r>
          <w:rPr>
            <w:color w:val="303030"/>
            <w:u w:val="single"/>
          </w:rPr>
          <w:t>NDFF (z.d.). 102.006 ObsIdentify</w:t>
        </w:r>
      </w:hyperlink>
      <w:bookmarkEnd w:id="54"/>
    </w:p>
    <w:p>
      <w:pPr>
        <w:pStyle w:val="SourceText"/>
        <w:keepLines/>
        <w:ind w:left="425" w:hanging="425"/>
      </w:pPr>
      <w:bookmarkStart w:id="55" w:name="bron_55"/>
      <w:r>
        <w:t>[55]</w:t>
        <w:tab/>
      </w:r>
      <w:hyperlink r:id="rId64" w:history="1">
        <w:r>
          <w:rPr>
            <w:color w:val="303030"/>
            <w:u w:val="single"/>
          </w:rPr>
          <w:t>NDFF (z.d.). Protocollen; reconstructie van nulwaarnemingen en beoordeling van metadata.</w:t>
        </w:r>
      </w:hyperlink>
      <w:bookmarkEnd w:id="55"/>
    </w:p>
    <w:p>
      <w:pPr>
        <w:pStyle w:val="SourceText"/>
        <w:keepLines/>
        <w:ind w:left="425" w:hanging="425"/>
      </w:pPr>
      <w:bookmarkStart w:id="56" w:name="bron_56"/>
      <w:r>
        <w:t>[56]</w:t>
        <w:tab/>
      </w:r>
      <w:hyperlink r:id="rId65" w:history="1">
        <w:r>
          <w:rPr>
            <w:color w:val="303030"/>
            <w:u w:val="single"/>
          </w:rPr>
          <w:t>NDFF (z.d.). 105.000 Waarnemingen uit collecties</w:t>
        </w:r>
      </w:hyperlink>
      <w:bookmarkEnd w:id="56"/>
    </w:p>
    <w:p>
      <w:pPr>
        <w:pStyle w:val="SourceText"/>
        <w:keepLines/>
        <w:ind w:left="425" w:hanging="425"/>
      </w:pPr>
      <w:bookmarkStart w:id="57" w:name="bron_57"/>
      <w:r>
        <w:t>[57]</w:t>
        <w:tab/>
      </w:r>
      <w:hyperlink r:id="rId66" w:history="1">
        <w:r>
          <w:rPr>
            <w:color w:val="303030"/>
            <w:u w:val="single"/>
          </w:rPr>
          <w:t>NDFF (z.d.). 12.004 Atlasgegevens Atlas van de Nederlandse Flora (1980–1989)</w:t>
        </w:r>
      </w:hyperlink>
      <w:bookmarkEnd w:id="57"/>
    </w:p>
    <w:p>
      <w:pPr>
        <w:pStyle w:val="SourceText"/>
        <w:keepLines/>
        <w:ind w:left="425" w:hanging="425"/>
      </w:pPr>
      <w:bookmarkStart w:id="58" w:name="bron_58"/>
      <w:r>
        <w:t>[58]</w:t>
        <w:tab/>
      </w:r>
      <w:hyperlink r:id="rId67" w:history="1">
        <w:r>
          <w:rPr>
            <w:color w:val="303030"/>
            <w:u w:val="single"/>
          </w:rPr>
          <w:t>NDFF (z.d.). 12.006 FLORBASE overige losse waarnemingen na 1993</w:t>
        </w:r>
      </w:hyperlink>
      <w:bookmarkEnd w:id="58"/>
    </w:p>
    <w:p>
      <w:pPr>
        <w:pStyle w:val="SourceText"/>
        <w:keepLines/>
        <w:ind w:left="425" w:hanging="425"/>
      </w:pPr>
      <w:bookmarkStart w:id="59" w:name="bron_59"/>
      <w:r>
        <w:t>[59]</w:t>
        <w:tab/>
      </w:r>
      <w:hyperlink r:id="rId68" w:history="1">
        <w:r>
          <w:rPr>
            <w:color w:val="303030"/>
            <w:u w:val="single"/>
          </w:rPr>
          <w:t>NDFF (z.d.). 17.005 Atlas van de Nederlandse Zoogdieren 1992</w:t>
        </w:r>
      </w:hyperlink>
      <w:bookmarkEnd w:id="59"/>
    </w:p>
    <w:p>
      <w:pPr>
        <w:pStyle w:val="SourceText"/>
        <w:keepLines/>
        <w:ind w:left="425" w:hanging="425"/>
      </w:pPr>
      <w:bookmarkStart w:id="60" w:name="bron_60"/>
      <w:r>
        <w:t>[60]</w:t>
        <w:tab/>
      </w:r>
      <w:hyperlink r:id="rId69" w:history="1">
        <w:r>
          <w:rPr>
            <w:color w:val="303030"/>
            <w:u w:val="single"/>
          </w:rPr>
          <w:t>NDFF (z.d.). 17.006 Atlas van de Nederlandse Vleermuizen 1997</w:t>
        </w:r>
      </w:hyperlink>
      <w:bookmarkEnd w:id="60"/>
    </w:p>
    <w:p>
      <w:pPr>
        <w:pStyle w:val="SourceText"/>
        <w:keepLines/>
        <w:ind w:left="425" w:hanging="425"/>
      </w:pPr>
      <w:bookmarkStart w:id="61" w:name="bron_61"/>
      <w:r>
        <w:t>[61]</w:t>
        <w:tab/>
      </w:r>
      <w:hyperlink r:id="rId70" w:history="1">
        <w:r>
          <w:rPr>
            <w:color w:val="303030"/>
            <w:u w:val="single"/>
          </w:rPr>
          <w:t>NDFF (z.d.). 17.007 Bestrijding Muskus- en Beverratten</w:t>
        </w:r>
      </w:hyperlink>
      <w:bookmarkEnd w:id="61"/>
    </w:p>
    <w:p>
      <w:pPr>
        <w:pStyle w:val="SourceText"/>
        <w:keepLines/>
        <w:ind w:left="425" w:hanging="425"/>
      </w:pPr>
      <w:bookmarkStart w:id="62" w:name="bron_62"/>
      <w:r>
        <w:t>[62]</w:t>
        <w:tab/>
      </w:r>
      <w:hyperlink r:id="rId71" w:history="1">
        <w:r>
          <w:rPr>
            <w:color w:val="303030"/>
            <w:u w:val="single"/>
          </w:rPr>
          <w:t>NDFF (z.d.). 07.001 Verspreidingsonderzoek libellen</w:t>
        </w:r>
      </w:hyperlink>
      <w:bookmarkEnd w:id="62"/>
    </w:p>
    <w:p>
      <w:pPr>
        <w:pStyle w:val="SourceText"/>
        <w:keepLines/>
        <w:ind w:left="425" w:hanging="425"/>
      </w:pPr>
      <w:bookmarkStart w:id="63" w:name="bron_63"/>
      <w:r>
        <w:t>[63]</w:t>
        <w:tab/>
      </w:r>
      <w:hyperlink r:id="rId72" w:history="1">
        <w:r>
          <w:rPr>
            <w:color w:val="303030"/>
            <w:u w:val="single"/>
          </w:rPr>
          <w:t>Kleukers, R. &amp; Oomen, D. / NDFF (2018). NDFF Dragonflies distribution research. Metadata. DOI: 10.15468/4dgcbn.</w:t>
        </w:r>
      </w:hyperlink>
      <w:bookmarkEnd w:id="63"/>
    </w:p>
    <w:p>
      <w:pPr>
        <w:pStyle w:val="SourceText"/>
        <w:keepLines/>
        <w:ind w:left="425" w:hanging="425"/>
      </w:pPr>
      <w:bookmarkStart w:id="64" w:name="bron_64"/>
      <w:r>
        <w:t>[64]</w:t>
        <w:tab/>
      </w:r>
      <w:hyperlink r:id="rId73" w:history="1">
        <w:r>
          <w:rPr>
            <w:color w:val="303030"/>
            <w:u w:val="single"/>
          </w:rPr>
          <w:t>NDFF (z.d.). 102.004 iNaturalist</w:t>
        </w:r>
      </w:hyperlink>
      <w:bookmarkEnd w:id="64"/>
    </w:p>
    <w:p>
      <w:pPr>
        <w:pStyle w:val="SourceText"/>
        <w:keepLines/>
        <w:ind w:left="425" w:hanging="425"/>
      </w:pPr>
      <w:bookmarkStart w:id="65" w:name="bron_65"/>
      <w:r>
        <w:t>[65]</w:t>
        <w:tab/>
      </w:r>
      <w:hyperlink r:id="rId74" w:history="1">
        <w:r>
          <w:rPr>
            <w:color w:val="303030"/>
            <w:u w:val="single"/>
          </w:rPr>
          <w:t>Sparrius, L. &amp; De Kruif, T. / NDFF (2018). NDFF Charales survey. Dataset. DOI: 10.15468/kegmoj</w:t>
        </w:r>
      </w:hyperlink>
      <w:bookmarkEnd w:id="65"/>
    </w:p>
    <w:p>
      <w:pPr>
        <w:pStyle w:val="SourceText"/>
        <w:keepLines/>
        <w:ind w:left="425" w:hanging="425"/>
      </w:pPr>
      <w:bookmarkStart w:id="66" w:name="bron_66"/>
      <w:r>
        <w:t>[66]</w:t>
        <w:tab/>
      </w:r>
      <w:hyperlink r:id="rId75" w:history="1">
        <w:r>
          <w:rPr>
            <w:color w:val="303030"/>
            <w:u w:val="single"/>
          </w:rPr>
          <w:t>Nichols, J.D. &amp; Williams, B.K. (2006). Monitoring for conservation. Trends in Ecology &amp; Evolution 21(12), 668–673. DOI: 10.1016/j.tree.2006.08.007</w:t>
        </w:r>
      </w:hyperlink>
      <w:bookmarkEnd w:id="66"/>
    </w:p>
    <w:sectPr w:rsidR="00FC693F" w:rsidRPr="0006063C" w:rsidSect="00034616">
      <w:footerReference w:type="default" r:id="rId9"/>
      <w:pgSz w:w="11906" w:h="16838"/>
      <w:pgMar w:top="1020" w:right="1020" w:bottom="1020" w:left="1020"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666666"/>
        <w:sz w:val="18"/>
      </w:r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Calibri" w:hAnsi="Calibri"/>
      <w:color w:val="202020"/>
      <w:sz w:val="22"/>
      <w:lang w:val="nl-N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0202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020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Calibri" w:hAnsi="Calibri"/>
      <w:b/>
      <w:color w:val="20202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20202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widowControl/>
      <w:spacing w:line="245" w:lineRule="auto" w:after="0"/>
    </w:pPr>
    <w:rPr>
      <w:rFonts w:ascii="Calibri" w:hAnsi="Calibri"/>
      <w:sz w:val="20"/>
    </w:rPr>
  </w:style>
  <w:style w:type="paragraph" w:customStyle="1" w:styleId="SourceText">
    <w:name w:val="Source Text"/>
    <w:basedOn w:val="Normal"/>
    <w:pPr>
      <w:widowControl/>
      <w:spacing w:line="254" w:lineRule="auto" w:after="100"/>
    </w:pPr>
    <w:rPr>
      <w:rFonts w:ascii="Calibri" w:hAnsi="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dff.nl/natuurdata/waarnemen-en-aanleveren/databestanden/" TargetMode="External"/><Relationship Id="rId11" Type="http://schemas.openxmlformats.org/officeDocument/2006/relationships/hyperlink" Target="https://www.cbs.nl/nl-nl/onze-diensten/methoden/onderzoeksomschrijvingen/korte-onderzoeksomschrijvingen/zoogdierenstatistiek" TargetMode="External"/><Relationship Id="rId12" Type="http://schemas.openxmlformats.org/officeDocument/2006/relationships/hyperlink" Target="https://ndff.nl/natuurdata/waarnemen-en-aanleveren/protocollen/3-201-landelijk-meetnet-vlinders-nem/" TargetMode="External"/><Relationship Id="rId13" Type="http://schemas.openxmlformats.org/officeDocument/2006/relationships/hyperlink" Target="https://ndff.nl/natuurdata/waarnemen-en-aanleveren/protocollen/3-203-landelijk-meetprogramma-nachtvlinders-nem/" TargetMode="External"/><Relationship Id="rId14" Type="http://schemas.openxmlformats.org/officeDocument/2006/relationships/hyperlink" Target="https://vlinderstichting.nl/wat-kan-jij-doen/tellen/meetnetten/meetnet-libellen/" TargetMode="External"/><Relationship Id="rId15" Type="http://schemas.openxmlformats.org/officeDocument/2006/relationships/hyperlink" Target="https://www.ravon.nl/reptielen/" TargetMode="External"/><Relationship Id="rId16" Type="http://schemas.openxmlformats.org/officeDocument/2006/relationships/hyperlink" Target="https://www.ravon.nl/publicaties/handleiding-invoerapp-meetprogramma-reptielen/" TargetMode="External"/><Relationship Id="rId17" Type="http://schemas.openxmlformats.org/officeDocument/2006/relationships/hyperlink" Target="https://ndff.nl/natuurdata/waarnemen-en-aanleveren/protocollen/11-201-meetnet-bospaddenstoelen-nem/" TargetMode="External"/><Relationship Id="rId18" Type="http://schemas.openxmlformats.org/officeDocument/2006/relationships/hyperlink" Target="https://www.cbs.nl/nl-nl/onze-diensten/methoden/onderzoeksomschrijvingen/korte-onderzoeksomschrijvingen/paddenstoelenstatistiek" TargetMode="External"/><Relationship Id="rId19" Type="http://schemas.openxmlformats.org/officeDocument/2006/relationships/hyperlink" Target="https://ndff.nl/natuurdata/waarnemen-en-aanleveren/protocollen/12-211-landelijk-meetnet-flora-aandachtssoorten-lmf-a/" TargetMode="External"/><Relationship Id="rId20" Type="http://schemas.openxmlformats.org/officeDocument/2006/relationships/hyperlink" Target="https://sovon.nl/tellen/telprojecten/punt-transect-telling-ptt" TargetMode="External"/><Relationship Id="rId21" Type="http://schemas.openxmlformats.org/officeDocument/2006/relationships/hyperlink" Target="https://ndff.nl/natuurdata/waarnemen-en-aanleveren/protocollen/17-201-monitoren-van-vleermuizen-in-de-winter-nem/" TargetMode="External"/><Relationship Id="rId22" Type="http://schemas.openxmlformats.org/officeDocument/2006/relationships/hyperlink" Target="https://ndff.nl/natuurdata/waarnemen-en-aanleveren/protocollen/17-202-monitoren-van-vleermuizen-op-zolders-nem/" TargetMode="External"/><Relationship Id="rId23" Type="http://schemas.openxmlformats.org/officeDocument/2006/relationships/hyperlink" Target="https://longreads.cbs.nl/meetprogrammas-flora-en-fauna-2022/meetprogrammas/" TargetMode="External"/><Relationship Id="rId24" Type="http://schemas.openxmlformats.org/officeDocument/2006/relationships/hyperlink" Target="https://ndff.nl/natuurdata/waarnemen-en-aanleveren/protocollen/17-208-vleermuistransecttelling-nem/" TargetMode="External"/><Relationship Id="rId25" Type="http://schemas.openxmlformats.org/officeDocument/2006/relationships/hyperlink" Target="https://longreads.cbs.nl/meetprogrammas-flora-en-fauna-2025/meetprogrammas/" TargetMode="External"/><Relationship Id="rId26" Type="http://schemas.openxmlformats.org/officeDocument/2006/relationships/hyperlink" Target="https://ndff.nl/natuurdata/waarnemen-en-aanleveren/protocollen/17-210-uitvliegtellingen-meervleermuizen-nem/" TargetMode="External"/><Relationship Id="rId27" Type="http://schemas.openxmlformats.org/officeDocument/2006/relationships/hyperlink" Target="https://besjournals.onlinelibrary.wiley.com/doi/full/10.1111/1365-2664.12158" TargetMode="External"/><Relationship Id="rId28" Type="http://schemas.openxmlformats.org/officeDocument/2006/relationships/hyperlink" Target="https://ndff.nl/natuurdata/waarnemen-en-aanleveren/protocollen/01-203-monitoring-van-amfibieen-in-nederland-2015-nem/" TargetMode="External"/><Relationship Id="rId29" Type="http://schemas.openxmlformats.org/officeDocument/2006/relationships/hyperlink" Target="https://www.anemoon.org/projecten/natura2000/habslak-protocollen" TargetMode="External"/><Relationship Id="rId30" Type="http://schemas.openxmlformats.org/officeDocument/2006/relationships/hyperlink" Target="https://ndff.nl/natuurdata/waarnemen-en-aanleveren/protocollen/11-202-zeereeppaddenstoelen/" TargetMode="External"/><Relationship Id="rId31" Type="http://schemas.openxmlformats.org/officeDocument/2006/relationships/hyperlink" Target="https://ndff.nl/natuurdata/waarnemen-en-aanleveren/protocollen/12-204-nieuwe-strepen-floron-nem/" TargetMode="External"/><Relationship Id="rId32" Type="http://schemas.openxmlformats.org/officeDocument/2006/relationships/hyperlink" Target="https://ndff.nl/natuurdata/waarnemen-en-aanleveren/protocollen/13-201-meetnet-beek-en-poldervissen-nem-3/" TargetMode="External"/><Relationship Id="rId33" Type="http://schemas.openxmlformats.org/officeDocument/2006/relationships/hyperlink" Target="https://www.clo.nl/indicatoren/nl155204-beek-en-poldervissen-van-de-habitatrichtlijn-1990-2023" TargetMode="External"/><Relationship Id="rId34" Type="http://schemas.openxmlformats.org/officeDocument/2006/relationships/hyperlink" Target="https://www.ravon.nl/publicaties/handleiding-meetnet-amfibieen-en-vissen-in-natura-2000-gebieden/" TargetMode="External"/><Relationship Id="rId35" Type="http://schemas.openxmlformats.org/officeDocument/2006/relationships/hyperlink" Target="https://ndff.nl/natuurdata/waarnemen-en-aanleveren/protocollen/17-002-braakbalonderzoek-nem/" TargetMode="External"/><Relationship Id="rId36" Type="http://schemas.openxmlformats.org/officeDocument/2006/relationships/hyperlink" Target="https://www.mycologen.nl/onderzoek/meetnet/bospaddenstoelen/" TargetMode="External"/><Relationship Id="rId37" Type="http://schemas.openxmlformats.org/officeDocument/2006/relationships/hyperlink" Target="https://ndff.nl/natuurdata/waarnemen-en-aanleveren/protocollen/17-207-verspreidingsonderzoek-bever-en-otter-nem/" TargetMode="External"/><Relationship Id="rId38" Type="http://schemas.openxmlformats.org/officeDocument/2006/relationships/hyperlink" Target="https://ndff.nl/natuurdata/waarnemen-en-aanleveren/protocollen/12-202-landelijk-meetnet-flora-milieu-en-natuurkwaliteit/" TargetMode="External"/><Relationship Id="rId39" Type="http://schemas.openxmlformats.org/officeDocument/2006/relationships/hyperlink" Target="https://www.bij12.nl/onderwerp/natuurinformatie/monitoring-en-natuurinformatie/werkwijze-monitoring-beoordeling-natuurnetwerk-natura-2000/" TargetMode="External"/><Relationship Id="rId40" Type="http://schemas.openxmlformats.org/officeDocument/2006/relationships/hyperlink" Target="https://ndff.nl/natuurdata/waarnemen-en-aanleveren/protocollen/2-202-korstmossen-op-steen-heiden-en-stuifzanden-nem/" TargetMode="External"/><Relationship Id="rId41" Type="http://schemas.openxmlformats.org/officeDocument/2006/relationships/hyperlink" Target="https://ndff.nl/natuurdata/waarnemen-en-aanleveren/protocollen/2-203-provinciale-epifytenmeetnet-mossen-en-korstmossen-2/" TargetMode="External"/><Relationship Id="rId42" Type="http://schemas.openxmlformats.org/officeDocument/2006/relationships/hyperlink" Target="https://ndff.nl/natuurdata/waarnemen-en-aanleveren/protocollen/12-205-uniforme-werkwijze-monitoring-natuurnetwerk-snl/" TargetMode="External"/><Relationship Id="rId43" Type="http://schemas.openxmlformats.org/officeDocument/2006/relationships/hyperlink" Target="https://www.verspreidingsatlas.nl/projecten/blwg/meetnetmossen.aspx" TargetMode="External"/><Relationship Id="rId44" Type="http://schemas.openxmlformats.org/officeDocument/2006/relationships/hyperlink" Target="https://www.gbif.org/dataset/2d1a33c3-f278-40d2-a662-e0d3369658e2" TargetMode="External"/><Relationship Id="rId45" Type="http://schemas.openxmlformats.org/officeDocument/2006/relationships/hyperlink" Target="https://www.blwg.nl/onderzoek" TargetMode="External"/><Relationship Id="rId46" Type="http://schemas.openxmlformats.org/officeDocument/2006/relationships/hyperlink" Target="https://ndff.nl/natuurdata/waarnemen-en-aanleveren/protocollen/10-002-environmental-dna-onderzoek/" TargetMode="External"/><Relationship Id="rId47" Type="http://schemas.openxmlformats.org/officeDocument/2006/relationships/hyperlink" Target="https://onlinelibrary.wiley.com/doi/abs/10.1002/edn3.70073" TargetMode="External"/><Relationship Id="rId48" Type="http://schemas.openxmlformats.org/officeDocument/2006/relationships/hyperlink" Target="https://ndff.nl/natuurdata/waarnemen-en-aanleveren/protocollen/102-002-jaarrond-tuintelling/" TargetMode="External"/><Relationship Id="rId49" Type="http://schemas.openxmlformats.org/officeDocument/2006/relationships/hyperlink" Target="https://ndff.nl/natuurdata/waarnemen-en-aanleveren/protocollen/12-001-totaalproject-floron/" TargetMode="External"/><Relationship Id="rId50" Type="http://schemas.openxmlformats.org/officeDocument/2006/relationships/hyperlink" Target="https://ndff.nl/natuurdata/waarnemen-en-aanleveren/protocollen/12-002-bedreigde-soorten-project-floron/" TargetMode="External"/><Relationship Id="rId51" Type="http://schemas.openxmlformats.org/officeDocument/2006/relationships/hyperlink" Target="https://ndff.nl/natuurdata/waarnemen-en-aanleveren/protocollen/12-003-rode-lijst-project-floron/" TargetMode="External"/><Relationship Id="rId52" Type="http://schemas.openxmlformats.org/officeDocument/2006/relationships/hyperlink" Target="https://ndff.nl/natuurdata/waarnemen-en-aanleveren/protocollen/12-007-vegetatieopname/" TargetMode="External"/><Relationship Id="rId53" Type="http://schemas.openxmlformats.org/officeDocument/2006/relationships/hyperlink" Target="https://www.altwym.nl/projecten/florakartering-terschelling/" TargetMode="External"/><Relationship Id="rId54" Type="http://schemas.openxmlformats.org/officeDocument/2006/relationships/hyperlink" Target="https://ndff.nl/natuurdata/waarnemen-en-aanleveren/protocollen/overzicht-waarnemingen-via-protocol/" TargetMode="External"/><Relationship Id="rId55" Type="http://schemas.openxmlformats.org/officeDocument/2006/relationships/hyperlink" Target="https://ndff.nl/natuurdata/waarnemen-en-aanleveren/protocollen/17-506-vleermuisprotocol-2021/" TargetMode="External"/><Relationship Id="rId56" Type="http://schemas.openxmlformats.org/officeDocument/2006/relationships/hyperlink" Target="https://ndff.nl/natuurdata/waarnemen-en-aanleveren/protocollen/3-003-protocol-waarnemingen-tuinvlindertelling/" TargetMode="External"/><Relationship Id="rId57" Type="http://schemas.openxmlformats.org/officeDocument/2006/relationships/hyperlink" Target="https://ndff.nl/natuurdata/waarnemen-en-aanleveren/protocollen/102-005-liveatlas/" TargetMode="External"/><Relationship Id="rId58" Type="http://schemas.openxmlformats.org/officeDocument/2006/relationships/hyperlink" Target="https://ndff.nl/natuurdata/waarnemen-en-aanleveren/protocollen/102-007-kwartiertellingen-dagvlinders-nachtvlinders-libellen-en-sprinkhanen/" TargetMode="External"/><Relationship Id="rId59" Type="http://schemas.openxmlformats.org/officeDocument/2006/relationships/hyperlink" Target="https://www.floron.nl/nectarindex" TargetMode="External"/><Relationship Id="rId60" Type="http://schemas.openxmlformats.org/officeDocument/2006/relationships/hyperlink" Target="https://ndff.nl/natuurdata/waarnemen-en-aanleveren/protocollen/17-505-vleermuisprotocol-2017/" TargetMode="External"/><Relationship Id="rId61" Type="http://schemas.openxmlformats.org/officeDocument/2006/relationships/hyperlink" Target="https://ndff.nl/natuurdata/waarnemen-en-aanleveren/protocollen/3-001-gebiedsgerichte-inventarisaties-dagvlinders/" TargetMode="External"/><Relationship Id="rId62" Type="http://schemas.openxmlformats.org/officeDocument/2006/relationships/hyperlink" Target="https://ndff.nl/natuurdata/waarnemen-en-aanleveren/protocollen/4-004-atlasproject-nederlandse-mollusken/" TargetMode="External"/><Relationship Id="rId63" Type="http://schemas.openxmlformats.org/officeDocument/2006/relationships/hyperlink" Target="https://ndff.nl/natuurdata/waarnemen-en-aanleveren/protocollen/102-006-obsidentify/" TargetMode="External"/><Relationship Id="rId64" Type="http://schemas.openxmlformats.org/officeDocument/2006/relationships/hyperlink" Target="https://ndff.nl/natuurdata/waarnemen-en-aanleveren/protocollen/" TargetMode="External"/><Relationship Id="rId65" Type="http://schemas.openxmlformats.org/officeDocument/2006/relationships/hyperlink" Target="https://ndff.nl/natuurdata/waarnemen-en-aanleveren/protocollen/105-000-waarnemingen-uit-collecties/" TargetMode="External"/><Relationship Id="rId66" Type="http://schemas.openxmlformats.org/officeDocument/2006/relationships/hyperlink" Target="https://ndff.nl/natuurdata/waarnemen-en-aanleveren/protocollen/12-004-atlasgegevens-atlas-van-de-nederlandse-flora-1980-1989/" TargetMode="External"/><Relationship Id="rId67" Type="http://schemas.openxmlformats.org/officeDocument/2006/relationships/hyperlink" Target="https://ndff.nl/natuurdata/waarnemen-en-aanleveren/protocollen/12-006-florabase-overige-losse-waarnemingen-na-1993/" TargetMode="External"/><Relationship Id="rId68" Type="http://schemas.openxmlformats.org/officeDocument/2006/relationships/hyperlink" Target="https://ndff.nl/natuurdata/waarnemen-en-aanleveren/protocollen/17-005-atlas-van-de-nederlandse-zoogdieren-1992/" TargetMode="External"/><Relationship Id="rId69" Type="http://schemas.openxmlformats.org/officeDocument/2006/relationships/hyperlink" Target="https://ndff.nl/natuurdata/waarnemen-en-aanleveren/protocollen/17-006-atlas-van-de-nederlandse-vleermuizen-1997/" TargetMode="External"/><Relationship Id="rId70" Type="http://schemas.openxmlformats.org/officeDocument/2006/relationships/hyperlink" Target="https://ndff.nl/natuurdata/waarnemen-en-aanleveren/protocollen/17-007-bestrijding-muskus-en-beverratten/" TargetMode="External"/><Relationship Id="rId71" Type="http://schemas.openxmlformats.org/officeDocument/2006/relationships/hyperlink" Target="https://ndff.nl/natuurdata/waarnemen-en-aanleveren/protocollen/7-001-verspreidingsonderzoek-libellen/" TargetMode="External"/><Relationship Id="rId72" Type="http://schemas.openxmlformats.org/officeDocument/2006/relationships/hyperlink" Target="https://www.gbif.org/dataset/9296b0fc-7ea4-46de-b951-6dea892acd41" TargetMode="External"/><Relationship Id="rId73" Type="http://schemas.openxmlformats.org/officeDocument/2006/relationships/hyperlink" Target="https://ndff.nl/natuurdata/waarnemen-en-aanleveren/protocollen/102-004-inaturalist/" TargetMode="External"/><Relationship Id="rId74" Type="http://schemas.openxmlformats.org/officeDocument/2006/relationships/hyperlink" Target="https://www.gbif.org/dataset/709e4b81-35aa-4c95-956f-c2676a53f7f7" TargetMode="External"/><Relationship Id="rId75" Type="http://schemas.openxmlformats.org/officeDocument/2006/relationships/hyperlink" Target="https://www.usgs.gov/publications/monitoring-conserv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Wetenschappelijk verantwoord gebruik van natuurprotocollen</dc:title>
  <dc:subject>Classificatie en gebruiksvoorwaarden van 54 Nederlandse natuurprotocollen</dc:subject>
  <dc:creator/>
  <cp:keywords>natuurmonitoring, protocollen, verspreiding, trends, inventarisatie</cp:keywords>
  <dc:description>generated by python-docx</dc:description>
  <cp:lastModifiedBy/>
  <cp:revision>1</cp:revision>
  <dcterms:created xsi:type="dcterms:W3CDTF">2013-12-23T23:15:00Z</dcterms:created>
  <dcterms:modified xsi:type="dcterms:W3CDTF">2013-12-23T23:15:00Z</dcterms:modified>
  <cp:category/>
</cp:coreProperties>
</file>