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26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Gebruik van de volledige PQ-samenstelling, 11 oktober 2026.</w:t>
      </w:r>
      <w:r>
        <w:t xml:space="preserve"> </w:t>
      </w:r>
      <w:r>
        <w:t xml:space="preserve">Voor de</w:t>
      </w:r>
      <w:r>
        <w:t xml:space="preserve"> </w:t>
      </w:r>
      <w:r>
        <w:t xml:space="preserve">broedvogel–vegetatieanalyse zijn 1.314 van de 2.007 provinciale opnamen aan 35</w:t>
      </w:r>
      <w:r>
        <w:t xml:space="preserve"> </w:t>
      </w:r>
      <w:r>
        <w:t xml:space="preserve">actieve Natura 2000-vogelplots gekoppeld. Zij vormen 501 PQ-plotjaren en</w:t>
      </w:r>
      <w:r>
        <w:t xml:space="preserve"> </w:t>
      </w:r>
      <w:r>
        <w:t xml:space="preserve">bevatten 642 van de 714 centrale taxa over 1981–2025. Een</w:t>
      </w:r>
      <w:r>
        <w:t xml:space="preserve"> </w:t>
      </w:r>
      <w:r>
        <w:t xml:space="preserve">Hellinger-transformatie en drie compositieassen vatten 27,8% van de variatie</w:t>
      </w:r>
      <w:r>
        <w:t xml:space="preserve"> </w:t>
      </w:r>
      <w:r>
        <w:t xml:space="preserve">samen. In de vogeloverlap van 37.140 soort–plot–jaarrijen, 406 vogelplotjaren,</w:t>
      </w:r>
      <w:r>
        <w:t xml:space="preserve"> </w:t>
      </w:r>
      <w:r>
        <w:t xml:space="preserve">35 plots en 154 soorten over 1989–2025 verbeteren deze assen de ruimtelijke</w:t>
      </w:r>
      <w:r>
        <w:t xml:space="preserve"> </w:t>
      </w:r>
      <w:r>
        <w:t xml:space="preserve">voorspelling in vier van vijf plotblokken, maar niet de voorspelling van latere</w:t>
      </w:r>
      <w:r>
        <w:t xml:space="preserve"> </w:t>
      </w:r>
      <w:r>
        <w:t xml:space="preserve">jaren in twee tijdsblokken. De uitkomst maakt de provinciale PQ-reeks</w:t>
      </w:r>
      <w:r>
        <w:t xml:space="preserve"> </w:t>
      </w:r>
      <w:r>
        <w:t xml:space="preserve">bruikbaarder voor ruimtelijke habitatverschillen, maar levert nog geen</w:t>
      </w:r>
      <w:r>
        <w:t xml:space="preserve"> </w:t>
      </w:r>
      <w:r>
        <w:t xml:space="preserve">voorspellende relatie tussen vegetatieverandering en vogelverandering.</w:t>
      </w:r>
      <w:r>
        <w:t xml:space="preserve"> </w:t>
      </w: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levende database op 11 oktober 2026.</w:t>
      </w:r>
      <w:r>
        <w:t xml:space="preserve"> </w:t>
      </w:r>
      <w:r>
        <w:t xml:space="preserve">24.837</w:t>
      </w:r>
      <w:r>
        <w:t xml:space="preserve"> </w:t>
      </w:r>
      <w:r>
        <w:t xml:space="preserve">dagregels, 1 januari 1958 tot en met 31 december 2025.</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De huidige reeks eindigt met het volledige kalenderjaar 2025.</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De huidige tabel beschrijft maaiveldhoogte en</w:t>
      </w:r>
      <w:r>
        <w:t xml:space="preserve"> </w:t>
      </w:r>
      <w:r>
        <w:t xml:space="preserve">hoogtevariatie per plot. Eén peiljaar geeft geen ontwikkeling door de tijd en</w:t>
      </w:r>
      <w:r>
        <w:t xml:space="preserve"> </w:t>
      </w:r>
      <w:r>
        <w:t xml:space="preserve">een DTM meet geen vegetatiehoogte.</w:t>
      </w:r>
    </w:p>
    <w:p>
      <w:pPr>
        <w:pStyle w:val="BodyText"/>
      </w:pPr>
      <w:r>
        <w:t xml:space="preserve">Voor de vogel–vegetatieanalyse is daarnaast een reproduceerbare proxy uit</w:t>
      </w:r>
      <w:r>
        <w:t xml:space="preserve"> </w:t>
      </w:r>
      <w:r>
        <w:t xml:space="preserve">AHN2, AHN3, AHN4 en AHN5 afgeleid. Deze analyse-uitvoer bevat 220 regels: 55</w:t>
      </w:r>
      <w:r>
        <w:t xml:space="preserve"> </w:t>
      </w:r>
      <w:r>
        <w:t xml:space="preserve">plots voor de structuurmomenten 2008, 2014, 2020 en 2023, telkens DSM minus</w:t>
      </w:r>
      <w:r>
        <w:t xml:space="preserve"> </w:t>
      </w:r>
      <w:r>
        <w:t xml:space="preserve">DTM op hetzelfde tweemetergrid. Vastgelegd zijn hoogteverdeling, aandelen open</w:t>
      </w:r>
      <w:r>
        <w:t xml:space="preserve"> </w:t>
      </w:r>
      <w:r>
        <w:t xml:space="preserve">terrein, lage vegetatie, struweel en bomen en randlengte per hectare. Pixels</w:t>
      </w:r>
      <w:r>
        <w:t xml:space="preserve"> </w:t>
      </w:r>
      <w:r>
        <w:t xml:space="preserve">boven 45 meter zijn als niet-vegetatieve uitbijter uitgesloten. De afgeleide</w:t>
      </w:r>
      <w:r>
        <w:t xml:space="preserve"> </w:t>
      </w:r>
      <w:r>
        <w:t xml:space="preserve">waarden en de controles op bronhashes, rastergelijkheid, volledigheid en</w:t>
      </w:r>
      <w:r>
        <w:t xml:space="preserve"> </w:t>
      </w:r>
      <w:r>
        <w:t xml:space="preserve">overgangen staan onder</w:t>
      </w:r>
      <w:r>
        <w:t xml:space="preserve"> </w:t>
      </w:r>
      <w:r>
        <w:rPr>
          <w:rStyle w:val="VerbatimChar"/>
        </w:rPr>
        <w:t xml:space="preserve">analyses/broedvogel_vegetatie_power/resultaten/</w:t>
      </w:r>
      <w:r>
        <w:t xml:space="preserve">. Zij zijn niet als primaire</w:t>
      </w:r>
      <w:r>
        <w:t xml:space="preserve"> </w:t>
      </w:r>
      <w:r>
        <w:t xml:space="preserve">bronmeting in de levende database opgenomen. De vier cycli maken een</w:t>
      </w:r>
      <w:r>
        <w:t xml:space="preserve"> </w:t>
      </w:r>
      <w:r>
        <w:t xml:space="preserve">historische tijdstoets mogelijk; in vier vogelgroepmodellen slaagde alleen de</w:t>
      </w:r>
      <w:r>
        <w:t xml:space="preserve"> </w:t>
      </w:r>
      <w:r>
        <w:t xml:space="preserve">boomgroeptoets numeriek en die leverde geen robuuste voorspellingswinst.</w:t>
      </w:r>
    </w:p>
    <w:p>
      <w:pPr>
        <w:pStyle w:val="BodyText"/>
      </w:pPr>
      <w:r>
        <w:t xml:space="preserve">AHN1 uit 1997–1998 is afzonderlijk beoordeeld op 55 plots. Tien historische</w:t>
      </w:r>
      <w:r>
        <w:t xml:space="preserve"> </w:t>
      </w:r>
      <w:r>
        <w:t xml:space="preserve">grond- en niet-grondbestanden leveren binnen het analysevenster 12.318.672</w:t>
      </w:r>
      <w:r>
        <w:t xml:space="preserve"> </w:t>
      </w:r>
      <w:r>
        <w:t xml:space="preserve">punten. Op het gekozen vijfmeterraster heeft 68,17% van 1.663.416 cellen een</w:t>
      </w:r>
      <w:r>
        <w:t xml:space="preserve"> </w:t>
      </w:r>
      <w:r>
        <w:t xml:space="preserve">grondpunt en 71,36% enig punt. Twee verdedigbare DSM-afleidingen verschillen</w:t>
      </w:r>
      <w:r>
        <w:t xml:space="preserve"> </w:t>
      </w:r>
      <w:r>
        <w:t xml:space="preserve">gemiddeld 48,0 procentpunt in open terrein, 14,0 procentpunt in bomen en 4,81</w:t>
      </w:r>
      <w:r>
        <w:t xml:space="preserve"> </w:t>
      </w:r>
      <w:r>
        <w:t xml:space="preserve">meter in de 95e hoogtepercentiel. AHN1 blijft daarom een experimentele</w:t>
      </w:r>
      <w:r>
        <w:t xml:space="preserve"> </w:t>
      </w:r>
      <w:r>
        <w:t xml:space="preserve">gevoeligheidsanalyse en is niet als vergelijkbaar vijfde moment aan AHN2–AHN5</w:t>
      </w:r>
      <w:r>
        <w:t xml:space="preserve"> </w:t>
      </w:r>
      <w:r>
        <w:t xml:space="preserve">toegevoegd.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De bron is op 12 oktober 2026 formeel gekoppeld aan de</w:t>
      </w:r>
      <w:r>
        <w:t xml:space="preserve"> </w:t>
      </w:r>
      <w:r>
        <w:t xml:space="preserve">broedvogelreeks. Na toepassing van de Natura 2000-scope en de geldige</w:t>
      </w:r>
      <w:r>
        <w:t xml:space="preserve"> </w:t>
      </w:r>
      <w:r>
        <w:t xml:space="preserve">vogelselectie bevat het stikstofmodel 60.127 soort–plot–jaarrijen uit 674</w:t>
      </w:r>
      <w:r>
        <w:t xml:space="preserve"> </w:t>
      </w:r>
      <w:r>
        <w:t xml:space="preserve">plotjaren in 51 plots, voor 155 soorten en 2005–2023. Het model corrigeert</w:t>
      </w:r>
      <w:r>
        <w:t xml:space="preserve"> </w:t>
      </w:r>
      <w:r>
        <w:t xml:space="preserve">tevens voor tijd, oppervlakte, bron, teller/tellerteam, geregistreerde</w:t>
      </w:r>
      <w:r>
        <w:t xml:space="preserve"> </w:t>
      </w:r>
      <w:r>
        <w:t xml:space="preserve">ervaring, bezoekinspanning, ongunstige bezoeksomstandigheden en vier</w:t>
      </w:r>
      <w:r>
        <w:t xml:space="preserve"> </w:t>
      </w:r>
      <w:r>
        <w:t xml:space="preserve">weermaten. Het verschil tussen plots is een factor 1,157 per</w:t>
      </w:r>
      <w:r>
        <w:t xml:space="preserve"> </w:t>
      </w:r>
      <w:r>
        <w:t xml:space="preserve">standaardafwijking hogere gemiddelde depositie; het verband tussen verandering</w:t>
      </w:r>
      <w:r>
        <w:t xml:space="preserve"> </w:t>
      </w:r>
      <w:r>
        <w:t xml:space="preserve">in depositie en verandering in vogelaantallen binnen dezelfde plot is 1,002,</w:t>
      </w:r>
      <w:r>
        <w:t xml:space="preserve"> </w:t>
      </w:r>
      <w:r>
        <w:t xml:space="preserve">met p = 0,924. Slechts één van vijf ruimtelijke validatieblokken is numeriek</w:t>
      </w:r>
      <w:r>
        <w:t xml:space="preserve"> </w:t>
      </w:r>
      <w:r>
        <w:t xml:space="preserve">geldig en dat voorspelt slechter; de tijdstoets op 2019–2023 valt numeriek uit.</w:t>
      </w:r>
      <w:r>
        <w:t xml:space="preserve"> </w:t>
      </w:r>
      <w:r>
        <w:t xml:space="preserve">De bron blijft geschikt als mogelijke verklarende factor, maar levert in deze</w:t>
      </w:r>
      <w:r>
        <w:t xml:space="preserve"> </w:t>
      </w:r>
      <w:r>
        <w:t xml:space="preserve">modelopzet geen bestendig voorspelmodel van vogelverandering en gaat niet door</w:t>
      </w:r>
      <w:r>
        <w:t xml:space="preserve"> </w:t>
      </w:r>
      <w:r>
        <w:t xml:space="preserve">naar power. Een samenhang bewijst bovendien niet dat stikstof de enige oorzaak</w:t>
      </w:r>
      <w:r>
        <w:t xml:space="preserve"> </w:t>
      </w:r>
      <w:r>
        <w:t xml:space="preserve">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De bron bevat vijf kaartmomenten: 1996, 2010, 2015, 2017</w:t>
      </w:r>
      <w:r>
        <w:t xml:space="preserve"> </w:t>
      </w:r>
      <w:r>
        <w:t xml:space="preserve">en 2022. De codes van 1996 zijn niet inhoudelijk aan de latere klassen</w:t>
      </w:r>
      <w:r>
        <w:t xml:space="preserve"> </w:t>
      </w:r>
      <w:r>
        <w:t xml:space="preserve">geharmoniseerd en zijn daarom niet stilzwijgend in het vogelmodel opgenomen.</w:t>
      </w:r>
      <w:r>
        <w:t xml:space="preserve"> </w:t>
      </w:r>
      <w:r>
        <w:t xml:space="preserve">Na toepassing van de Natura 2000-scope en de geldige vogelselectie gebruiken</w:t>
      </w:r>
      <w:r>
        <w:t xml:space="preserve"> </w:t>
      </w:r>
      <w:r>
        <w:t xml:space="preserve">de modellen voor open natuurlijk terrein, bos en water 15.039</w:t>
      </w:r>
      <w:r>
        <w:t xml:space="preserve"> </w:t>
      </w:r>
      <w:r>
        <w:t xml:space="preserve">soort–plot–jaarrijen uit 168 plotjaren in 49 plots, voor 155 soorten en de vier</w:t>
      </w:r>
      <w:r>
        <w:t xml:space="preserve"> </w:t>
      </w:r>
      <w:r>
        <w:t xml:space="preserve">kaartjaren 2010–2022. In de vijf analyses waarin landgebruik voorkomt zijn van</w:t>
      </w:r>
      <w:r>
        <w:t xml:space="preserve"> </w:t>
      </w:r>
      <w:r>
        <w:t xml:space="preserve">de tien volledige basis- en omgevingsmodellen twee geldig; geen modelpaar is</w:t>
      </w:r>
      <w:r>
        <w:t xml:space="preserve"> </w:t>
      </w:r>
      <w:r>
        <w:t xml:space="preserve">aan beide zijden geldig. Van dertig validaties zijn er elf geldig en negentien</w:t>
      </w:r>
      <w:r>
        <w:t xml:space="preserve"> </w:t>
      </w:r>
      <w:r>
        <w:t xml:space="preserve">ongeldig. Bos verbetert de logscore in vier van vier geldige ruimtelijke</w:t>
      </w:r>
      <w:r>
        <w:t xml:space="preserve"> </w:t>
      </w:r>
      <w:r>
        <w:t xml:space="preserve">blokken en water in</w:t>
      </w:r>
      <w:r>
        <w:t xml:space="preserve"> </w:t>
      </w:r>
      <w:r>
        <w:t xml:space="preserve">twee van twee, maar geen van de vijf tijdstoetsen slaagt. De bron kan dus</w:t>
      </w:r>
      <w:r>
        <w:t xml:space="preserve"> </w:t>
      </w:r>
      <w:r>
        <w:t xml:space="preserve">ruimtelijke verschillen tussen plots helpen beschrijven, maar levert in deze</w:t>
      </w:r>
      <w:r>
        <w:t xml:space="preserve"> </w:t>
      </w:r>
      <w:r>
        <w:t xml:space="preserve">modelopzet geen bestendig voorspelmodel van vogelverandering en gaat niet door</w:t>
      </w:r>
      <w:r>
        <w:t xml:space="preserve"> </w:t>
      </w:r>
      <w:r>
        <w:t xml:space="preserve">naar power. De kaartmomenten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4"/>
      </w:pPr>
      <w:bookmarkStart w:id="54" w:name="_db7eb24e1743be4ba71117664c27cd530984820"/>
      <w:r>
        <w:t xml:space="preserve">1.8.6. Jaarlijks luchtfotobeeld</w:t>
      </w:r>
      <w:bookmarkEnd w:id="54"/>
    </w:p>
    <w:p>
      <w:pPr>
        <w:pStyle w:val="FirstParagraph"/>
      </w:pPr>
      <w:r>
        <w:rPr>
          <w:b/>
          <w:bCs/>
        </w:rPr>
        <w:t xml:space="preserve">Eigenaar.</w:t>
      </w:r>
      <w:r>
        <w:t xml:space="preserve"> </w:t>
      </w:r>
      <w:r>
        <w:t xml:space="preserve">Beeldmateriaal Nederland, ontsloten via PDOK en het landelijke</w:t>
      </w:r>
      <w:r>
        <w:t xml:space="preserve"> </w:t>
      </w:r>
      <w:r>
        <w:t xml:space="preserve">downloadportaal.</w:t>
      </w:r>
    </w:p>
    <w:p>
      <w:pPr>
        <w:pStyle w:val="BodyText"/>
      </w:pPr>
      <w:r>
        <w:rPr>
          <w:b/>
          <w:bCs/>
        </w:rPr>
        <w:t xml:space="preserve">Omvang en periode.</w:t>
      </w:r>
      <w:r>
        <w:t xml:space="preserve"> </w:t>
      </w:r>
      <w:r>
        <w:t xml:space="preserve">Kandidaatbron, niet in de levende database opgenomen.</w:t>
      </w:r>
      <w:r>
        <w:t xml:space="preserve"> </w:t>
      </w:r>
      <w:r>
        <w:t xml:space="preserve">De uitgevoerde proef gebruikt tien officiële WMS-beelden: RGB en CIR voor</w:t>
      </w:r>
      <w:r>
        <w:t xml:space="preserve"> </w:t>
      </w:r>
      <w:r>
        <w:t xml:space="preserve">2016, 2020, 2022, 2023 en 2024. Elk beeld is op het gedeelde AHN-rooster</w:t>
      </w:r>
      <w:r>
        <w:t xml:space="preserve"> </w:t>
      </w:r>
      <w:r>
        <w:t xml:space="preserve">samengesteld tot 3.440 bij 3.018 pixels van 2 meter. De brongeometrie bevat 55</w:t>
      </w:r>
      <w:r>
        <w:t xml:space="preserve"> </w:t>
      </w:r>
      <w:r>
        <w:t xml:space="preserve">vogelplots; na uitsluiting van M66 en M91 zijn 53 Natura 2000-plots</w:t>
      </w:r>
      <w:r>
        <w:t xml:space="preserve"> </w:t>
      </w:r>
      <w:r>
        <w:t xml:space="preserve">geanalyseerd. De officiële 25-centimeterlagen bevatten geen RGB/CIR-paar voor</w:t>
      </w:r>
      <w:r>
        <w:t xml:space="preserve"> </w:t>
      </w:r>
      <w:r>
        <w:t xml:space="preserve">2021.</w:t>
      </w:r>
    </w:p>
    <w:p>
      <w:pPr>
        <w:pStyle w:val="BodyText"/>
      </w:pPr>
      <w:r>
        <w:rPr>
          <w:b/>
          <w:bCs/>
        </w:rPr>
        <w:t xml:space="preserve">Gebruik en grens.</w:t>
      </w:r>
      <w:r>
        <w:t xml:space="preserve"> </w:t>
      </w:r>
      <w:r>
        <w:t xml:space="preserve">De beperkte classificatieproef is uitgevoerd. De ruwe</w:t>
      </w:r>
      <w:r>
        <w:t xml:space="preserve"> </w:t>
      </w:r>
      <w:r>
        <w:t xml:space="preserve">RGB/CIR-kenmerken behalen bij overdracht van 2020 naar 2023 macro-F1 0,469 en</w:t>
      </w:r>
      <w:r>
        <w:t xml:space="preserve"> </w:t>
      </w:r>
      <w:r>
        <w:t xml:space="preserve">in omgekeerde richting 0,420; beide blijven onder de vooraf gekozen grens van</w:t>
      </w:r>
      <w:r>
        <w:t xml:space="preserve"> </w:t>
      </w:r>
      <w:r>
        <w:t xml:space="preserve">0,60. Radiometrische normalisatie en beeldtextuur verbeteren dit niet. De</w:t>
      </w:r>
      <w:r>
        <w:t xml:space="preserve"> </w:t>
      </w:r>
      <w:r>
        <w:t xml:space="preserve">voorspelde houtige bedekking correleert in 24 afzonderlijk begrensde plots in</w:t>
      </w:r>
      <w:r>
        <w:t xml:space="preserve"> </w:t>
      </w:r>
      <w:r>
        <w:t xml:space="preserve">2022 wel met de onafhankelijke landbedekking, 0,743 tot 0,869, maar de</w:t>
      </w:r>
      <w:r>
        <w:t xml:space="preserve"> </w:t>
      </w:r>
      <w:r>
        <w:t xml:space="preserve">gemiddelde absolute fout blijft 10,2 tot 10,6 procentpunt. De op 19 oktober</w:t>
      </w:r>
      <w:r>
        <w:t xml:space="preserve"> </w:t>
      </w:r>
      <w:r>
        <w:t xml:space="preserve">2026 ontvangen classificatierasters geven voor 2001 en 2022 wel</w:t>
      </w:r>
      <w:r>
        <w:t xml:space="preserve"> </w:t>
      </w:r>
      <w:r>
        <w:t xml:space="preserve">pixelreferenties, maar de oorspronkelijke trainingspolygonen en 125</w:t>
      </w:r>
      <w:r>
        <w:t xml:space="preserve"> </w:t>
      </w:r>
      <w:r>
        <w:t xml:space="preserve">validatiepunten ontbreken. Het raster van 2022 is bovendien uit beeld van dat</w:t>
      </w:r>
      <w:r>
        <w:t xml:space="preserve"> </w:t>
      </w:r>
      <w:r>
        <w:t xml:space="preserve">jaar afgeleid en vormt geen onafhankelijke validatie van hetzelfde beeld. De</w:t>
      </w:r>
      <w:r>
        <w:t xml:space="preserve"> </w:t>
      </w:r>
      <w:r>
        <w:t xml:space="preserve">kandidaatbron wordt daarom niet analyseklaar verklaard en niet tot een</w:t>
      </w:r>
      <w:r>
        <w:t xml:space="preserve"> </w:t>
      </w:r>
      <w:r>
        <w:t xml:space="preserve">jaarlijkse reeks uitgebreid. Een vervolg vereist onafhankelijke referenties</w:t>
      </w:r>
      <w:r>
        <w:t xml:space="preserve"> </w:t>
      </w:r>
      <w:r>
        <w:t xml:space="preserve">voor meer beeldjaren. Luchtfoto's meten geen vegetatiehoogte, maken AHN1 niet</w:t>
      </w:r>
      <w:r>
        <w:t xml:space="preserve"> </w:t>
      </w:r>
      <w:r>
        <w:t xml:space="preserve">vergelijkbaar en mogen niet rechtstreeks als causale verklaring van</w:t>
      </w:r>
      <w:r>
        <w:t xml:space="preserve"> </w:t>
      </w:r>
      <w:r>
        <w:t xml:space="preserve">vogelverandering worden gebruikt.</w:t>
      </w:r>
    </w:p>
    <w:p>
      <w:pPr>
        <w:pStyle w:val="BodyText"/>
      </w:pPr>
      <w:r>
        <w:rPr>
          <w:b/>
          <w:bCs/>
        </w:rPr>
        <w:t xml:space="preserve">Historische Dunea-reeks, bronbericht 26 oktober 2026.</w:t>
      </w:r>
      <w:r>
        <w:t xml:space="preserve"> </w:t>
      </w:r>
      <w:r>
        <w:t xml:space="preserve">Harrie Van der</w:t>
      </w:r>
      <w:r>
        <w:t xml:space="preserve"> </w:t>
      </w:r>
      <w:r>
        <w:t xml:space="preserve">Hagen meldt dat Dunea gebiedsdekkende luchtfoto's van heel Meijendel beheert.</w:t>
      </w:r>
      <w:r>
        <w:t xml:space="preserve"> </w:t>
      </w:r>
      <w:r>
        <w:t xml:space="preserve">Hij noemt zwart-witopnamen uit 1938, 1944, 1962 en 1966, meestal op ongeveer</w:t>
      </w:r>
      <w:r>
        <w:t xml:space="preserve"> </w:t>
      </w:r>
      <w:r>
        <w:t xml:space="preserve">1:18.000, en kleureninfraroodopnamen uit 1975, 1980, 1985, 1990, 1995, 2001,</w:t>
      </w:r>
      <w:r>
        <w:t xml:space="preserve"> </w:t>
      </w:r>
      <w:r>
        <w:t xml:space="preserve">2009, 2016 en 2023, op ongeveer 1:2.500. In één doorgestuurde versie staat</w:t>
      </w:r>
      <w:r>
        <w:t xml:space="preserve"> </w:t>
      </w:r>
      <w:r>
        <w:rPr>
          <w:rStyle w:val="VerbatimChar"/>
        </w:rPr>
        <w:t xml:space="preserve">1895</w:t>
      </w:r>
      <w:r>
        <w:t xml:space="preserve">; dit is in Tons weergave gecorrigeerd naar het chronologisch passende</w:t>
      </w:r>
      <w:r>
        <w:t xml:space="preserve"> </w:t>
      </w:r>
      <w:r>
        <w:t xml:space="preserve">1985. Harrie is niet meer zeker van de laatste twee jaren. De exacte jaren,</w:t>
      </w:r>
      <w:r>
        <w:t xml:space="preserve"> </w:t>
      </w:r>
      <w:r>
        <w:t xml:space="preserve">vluchten, dekking, bestanden en schaal moeten daarom eerst door Dunea worden</w:t>
      </w:r>
      <w:r>
        <w:t xml:space="preserve"> </w:t>
      </w:r>
      <w:r>
        <w:t xml:space="preserve">bevestigd. De bestanden zijn niet ontvangen en blijven kandidaatbron.</w:t>
      </w:r>
    </w:p>
    <w:p>
      <w:pPr>
        <w:pStyle w:val="BodyText"/>
      </w:pPr>
      <w:r>
        <w:t xml:space="preserve">Volgens Harrie bestaat voor de meeste jaren een interpretatie op basis van het</w:t>
      </w:r>
      <w:r>
        <w:t xml:space="preserve"> </w:t>
      </w:r>
      <w:r>
        <w:t xml:space="preserve">proefschrift van Dan Assendorp. Die indeling was niet passend voor de gebruikte</w:t>
      </w:r>
      <w:r>
        <w:t xml:space="preserve"> </w:t>
      </w:r>
      <w:r>
        <w:t xml:space="preserve">broedvogelgroepen en is daarom voor het onderzoek van Schmidt-Tauscher, Häger</w:t>
      </w:r>
      <w:r>
        <w:t xml:space="preserve"> </w:t>
      </w:r>
      <w:r>
        <w:t xml:space="preserve">en Van der Hagen opnieuw geïnterpreteerd. Voor zijn eigen proefschrift gebruikte</w:t>
      </w:r>
      <w:r>
        <w:t xml:space="preserve"> </w:t>
      </w:r>
      <w:r>
        <w:t xml:space="preserve">Harrie 1975, 1990, 2001 en 2009. De oudere zwart-witbeelden zijn niet zonder</w:t>
      </w:r>
      <w:r>
        <w:t xml:space="preserve"> </w:t>
      </w:r>
      <w:r>
        <w:t xml:space="preserve">meer vergelijkbaar met de fijnschaliger kleureninfraroodreeks; vooral het beeld</w:t>
      </w:r>
      <w:r>
        <w:t xml:space="preserve"> </w:t>
      </w:r>
      <w:r>
        <w:t xml:space="preserve">uit 1938 bevat door de lage zonnestand schaduwen die op bos kunnen lijken.</w:t>
      </w:r>
    </w:p>
    <w:p>
      <w:pPr>
        <w:pStyle w:val="BodyText"/>
      </w:pPr>
      <w:r>
        <w:t xml:space="preserve">Dunea is bronhouder. Harrie heeft geen bevoegdheid de bestanden beschikbaar te</w:t>
      </w:r>
      <w:r>
        <w:t xml:space="preserve"> </w:t>
      </w:r>
      <w:r>
        <w:t xml:space="preserve">stellen en verwijst voor een besluit naar Maarten Werink. Het idee voor een</w:t>
      </w:r>
      <w:r>
        <w:t xml:space="preserve"> </w:t>
      </w:r>
      <w:r>
        <w:t xml:space="preserve">gezamenlijke proef via een stage is eerder alleen terloops door Harrie aan Ton</w:t>
      </w:r>
      <w:r>
        <w:t xml:space="preserve"> </w:t>
      </w:r>
      <w:r>
        <w:t xml:space="preserve">genoemd; het was geen voorstel of toezegging van Maarten. Maarten wordt daarom</w:t>
      </w:r>
      <w:r>
        <w:t xml:space="preserve"> </w:t>
      </w:r>
      <w:r>
        <w:t xml:space="preserve">zonder veronderstelde voorkennis rechtstreeks gevraagd welke bestaande</w:t>
      </w:r>
      <w:r>
        <w:t xml:space="preserve"> </w:t>
      </w:r>
      <w:r>
        <w:t xml:space="preserve">fotobeelden, interpretaties en bronmetadata Dunea voor het onderzoek</w:t>
      </w:r>
      <w:r>
        <w:t xml:space="preserve"> </w:t>
      </w:r>
      <w:r>
        <w:t xml:space="preserve">beschikbaar kan stellen en onder welke voorwaarden.</w:t>
      </w:r>
    </w:p>
    <w:p>
      <w:pPr>
        <w:pStyle w:val="BodyText"/>
      </w:pPr>
      <w:r>
        <w:t xml:space="preserve">De reeks kan de twee kaartmomenten 2001 en 2022 aanvullen, maar levert niet</w:t>
      </w:r>
      <w:r>
        <w:t xml:space="preserve"> </w:t>
      </w:r>
      <w:r>
        <w:t xml:space="preserve">automatisch een voorspellend model. Harrie wijst erop dat ontwikkeling in het</w:t>
      </w:r>
      <w:r>
        <w:t xml:space="preserve"> </w:t>
      </w:r>
      <w:r>
        <w:t xml:space="preserve">droge duin sterk kan reageren op afzonderlijke gebeurtenissen en menselijk</w:t>
      </w:r>
      <w:r>
        <w:t xml:space="preserve"> </w:t>
      </w:r>
      <w:r>
        <w:t xml:space="preserve">ingrijpen. Hij noemt onder meer het wegvallen van konijnen na myxomatose, de</w:t>
      </w:r>
      <w:r>
        <w:t xml:space="preserve"> </w:t>
      </w:r>
      <w:r>
        <w:t xml:space="preserve">aanplant van bomen en struiken en van helm tot 1990, begrazing vanaf 1990 en het</w:t>
      </w:r>
      <w:r>
        <w:t xml:space="preserve"> </w:t>
      </w:r>
      <w:r>
        <w:t xml:space="preserve">latere opnieuw openmaken van het duin. Voor voorspelling moeten zulke</w:t>
      </w:r>
      <w:r>
        <w:t xml:space="preserve"> </w:t>
      </w:r>
      <w:r>
        <w:t xml:space="preserve">gebeurtenissen en ingrepen, voor zover zij per plaats en jaar kunnen worden</w:t>
      </w:r>
      <w:r>
        <w:t xml:space="preserve"> </w:t>
      </w:r>
      <w:r>
        <w:t xml:space="preserve">onderbouwd, naast vegetatie, PQ en vogels worden opgenomen. De historische</w:t>
      </w:r>
      <w:r>
        <w:t xml:space="preserve"> </w:t>
      </w:r>
      <w:r>
        <w:t xml:space="preserve">fotoreeks kan dus vooral vaststellen</w:t>
      </w:r>
      <w:r>
        <w:t xml:space="preserve"> </w:t>
      </w:r>
      <w:r>
        <w:rPr>
          <w:i/>
          <w:iCs/>
        </w:rPr>
        <w:t xml:space="preserve">wanneer en waar</w:t>
      </w:r>
      <w:r>
        <w:t xml:space="preserve"> </w:t>
      </w:r>
      <w:r>
        <w:t xml:space="preserve">structuur veranderde;</w:t>
      </w:r>
      <w:r>
        <w:t xml:space="preserve"> </w:t>
      </w:r>
      <w:r>
        <w:t xml:space="preserve">zij verklaart niet zelfstandig waardoor dat gebeurde.</w:t>
      </w:r>
    </w:p>
    <w:p>
      <w:pPr>
        <w:pStyle w:val="Heading3"/>
      </w:pPr>
      <w:bookmarkStart w:id="55" w:name="_f1f9cc3f4e7e57e7e99ffc1d85334cce67c3650"/>
      <w:r>
        <w:t xml:space="preserve">1.9. Werkzaamheden en beheermaatregelen</w:t>
      </w:r>
      <w:bookmarkEnd w:id="55"/>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6">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7" w:name="_692b0a71312b2a939db271d079fb23757bfc15a"/>
      <w:r>
        <w:t xml:space="preserve">2. Bronnen in MySQL-database</w:t>
      </w:r>
      <w:r>
        <w:t xml:space="preserve"> </w:t>
      </w:r>
      <w:r>
        <w:rPr>
          <w:rStyle w:val="VerbatimChar"/>
        </w:rPr>
        <w:t xml:space="preserve">Meijendel_bronnen</w:t>
      </w:r>
      <w:bookmarkEnd w:id="57"/>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8" w:name="_7ae3f60e8dd3c65bdde3d5f608a55d96632a876"/>
      <w:r>
        <w:t xml:space="preserve">2.1. Duinvalleivegetatie</w:t>
      </w:r>
      <w:bookmarkEnd w:id="58"/>
    </w:p>
    <w:p>
      <w:pPr>
        <w:pStyle w:val="FirstParagraph"/>
      </w:pPr>
      <w:r>
        <w:rPr>
          <w:b/>
          <w:bCs/>
        </w:rPr>
        <w:t xml:space="preserve">Beheerder.</w:t>
      </w:r>
      <w:r>
        <w:t xml:space="preserve"> </w:t>
      </w:r>
      <w:r>
        <w:t xml:space="preserve">Openbare onderzoeksdataset,</w:t>
      </w:r>
      <w:r>
        <w:t xml:space="preserve"> </w:t>
      </w:r>
      <w:hyperlink r:id="rId59">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60" w:name="_6cd5cd3671e295c222d5bd4a47757f0a76f0a19"/>
      <w:r>
        <w:t xml:space="preserve">2.2. Vogelstand 1924</w:t>
      </w:r>
      <w:bookmarkEnd w:id="60"/>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1" w:name="_b3fdc40884db1bbf06132e666e117a731445140"/>
      <w:r>
        <w:t xml:space="preserve">2.3. Jachtspinnen</w:t>
      </w:r>
      <w:bookmarkEnd w:id="61"/>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2" w:name="_7c2c13aacf0ea926ee35ca97ab69391a3624a6f"/>
      <w:r>
        <w:t xml:space="preserve">2.4. Literatuuroverzicht</w:t>
      </w:r>
      <w:bookmarkEnd w:id="62"/>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3" w:name="_4a1f2475629c7656191227e4ca81566bef187e2"/>
      <w:r>
        <w:t xml:space="preserve">2.5. Bijenmonitoring in vier beheergebieden</w:t>
      </w:r>
      <w:bookmarkEnd w:id="63"/>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4" w:name="_bef92f685785a24a45e5325384551ba55c57cc1"/>
      <w:r>
        <w:t xml:space="preserve">2.6. Aquatische macrofauna 1974–1975</w:t>
      </w:r>
      <w:bookmarkEnd w:id="64"/>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5" w:name="_2b62b82ef201b4c91783bce15da2b1d0258c34c"/>
      <w:r>
        <w:t xml:space="preserve">3. Geïdentificeerde externe kandidaatbronnen</w:t>
      </w:r>
      <w:bookmarkEnd w:id="65"/>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6" w:name="_d53aceb4d9e4863cdbb6367737be5e291cdac65"/>
      <w:r>
        <w:t xml:space="preserve">Kandidaten met de grootste verwachte aanvulling</w:t>
      </w:r>
      <w:bookmarkEnd w:id="66"/>
    </w:p>
    <w:p>
      <w:pPr>
        <w:pStyle w:val="Heading4"/>
      </w:pPr>
      <w:bookmarkStart w:id="67" w:name="_bddce02f5cb2b082bf32fac381c8bc0ea5284d3"/>
      <w:r>
        <w:t xml:space="preserve">3.1. Historische en actuele ringgegevens</w:t>
      </w:r>
      <w:bookmarkEnd w:id="67"/>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8" w:name="_8071b7ae643e6cecadbf8a281c84bb90b511e63"/>
      <w:r>
        <w:t xml:space="preserve">3.2. Erosiepinnen in een stuifkuilcomplex</w:t>
      </w:r>
      <w:bookmarkEnd w:id="68"/>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9" w:name="_1b05a95cacb83608c9b762adcf4298810ed86f9"/>
      <w:r>
        <w:t xml:space="preserve">3.3. Langjarige droge-duinvegetatieplots</w:t>
      </w:r>
      <w:bookmarkEnd w:id="69"/>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1" w:name="_4578481a165cef1470f100d42a5e836ac7456f8"/>
      <w:r>
        <w:t xml:space="preserve">3.4.</w:t>
      </w:r>
      <w:r>
        <w:t xml:space="preserve"> </w:t>
      </w:r>
      <w:hyperlink r:id="rId70">
        <w:r>
          <w:rPr>
            <w:rStyle w:val="Hyperlink"/>
          </w:rPr>
          <w:t xml:space="preserve">Neuropteren van Meijendel</w:t>
        </w:r>
      </w:hyperlink>
      <w:bookmarkEnd w:id="71"/>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3" w:name="_642992b46f3d655730973d9bd57c00f9c7aad9f"/>
      <w:r>
        <w:t xml:space="preserve">3.5.</w:t>
      </w:r>
      <w:r>
        <w:t xml:space="preserve"> </w:t>
      </w:r>
      <w:hyperlink r:id="rId72">
        <w:r>
          <w:rPr>
            <w:rStyle w:val="Hyperlink"/>
          </w:rPr>
          <w:t xml:space="preserve">Zweefvliegen van Meijendel</w:t>
        </w:r>
      </w:hyperlink>
      <w:bookmarkEnd w:id="73"/>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4" w:name="_80b82bf48485caf594896b8d6bc490be5f328ee"/>
      <w:r>
        <w:t xml:space="preserve">3.6. TERRA-Dunes plant- en bodemmicrobiomen</w:t>
      </w:r>
      <w:bookmarkEnd w:id="74"/>
    </w:p>
    <w:p>
      <w:pPr>
        <w:pStyle w:val="FirstParagraph"/>
      </w:pPr>
      <w:r>
        <w:rPr>
          <w:b/>
          <w:bCs/>
        </w:rPr>
        <w:t xml:space="preserve">Eigenaar of uitgever.</w:t>
      </w:r>
      <w:r>
        <w:t xml:space="preserve"> </w:t>
      </w:r>
      <w:r>
        <w:t xml:space="preserve">Onderzoeksteam TERRA-Dunes,</w:t>
      </w:r>
      <w:r>
        <w:t xml:space="preserve"> </w:t>
      </w:r>
      <w:hyperlink r:id="rId75">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6" w:name="_4b2db10b2340db42e20505c45425c0b84f14c27"/>
      <w:r>
        <w:t xml:space="preserve">3.7. Rups- en bodemmicrobiomen</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8" w:name="_442e94e4e2997aa133d10bf618574e2528e759d"/>
      <w:r>
        <w:t xml:space="preserve">3.8. Schimmels bij kruipwilg</w:t>
      </w:r>
      <w:bookmarkEnd w:id="78"/>
    </w:p>
    <w:p>
      <w:pPr>
        <w:pStyle w:val="FirstParagraph"/>
      </w:pPr>
      <w:r>
        <w:rPr>
          <w:b/>
          <w:bCs/>
        </w:rPr>
        <w:t xml:space="preserve">Eigenaar of uitgever.</w:t>
      </w:r>
      <w:r>
        <w:t xml:space="preserve"> </w:t>
      </w:r>
      <w:r>
        <w:t xml:space="preserve">Onderzoeksteam,</w:t>
      </w:r>
      <w:r>
        <w:t xml:space="preserve"> </w:t>
      </w:r>
      <w:hyperlink r:id="rId79">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80" w:name="_36e8e197a59cff4a0251b791dc5fc6bc0e135bf"/>
      <w:r>
        <w:t xml:space="preserve">3.9. Plantengroei, bodemvocht en weer</w:t>
      </w:r>
      <w:bookmarkEnd w:id="80"/>
    </w:p>
    <w:p>
      <w:pPr>
        <w:pStyle w:val="FirstParagraph"/>
      </w:pPr>
      <w:r>
        <w:rPr>
          <w:b/>
          <w:bCs/>
        </w:rPr>
        <w:t xml:space="preserve">Eigenaar of uitgever.</w:t>
      </w:r>
      <w:r>
        <w:t xml:space="preserve"> </w:t>
      </w:r>
      <w:r>
        <w:t xml:space="preserve">Wageningen University &amp; Research,</w:t>
      </w:r>
      <w:r>
        <w:t xml:space="preserve"> </w:t>
      </w:r>
      <w:hyperlink r:id="rId81">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2" w:name="_49ed5beca1c3c65272a43e85c3687f3c3d41d64"/>
      <w:r>
        <w:t xml:space="preserve">3.10. Genetische datasets amfibieën</w:t>
      </w:r>
      <w:bookmarkEnd w:id="82"/>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3" w:name="_136d668cd3b301eba92f27584d1a2d49d57a73c"/>
      <w:r>
        <w:t xml:space="preserve">3.11. Alleen context of nog een onderzoeksaanwijzing</w:t>
      </w:r>
      <w:bookmarkEnd w:id="83"/>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onderzoeksrasters zijn nog niet als openbare dataset gevonden en</w:t>
      </w:r>
      <w:r>
        <w:t xml:space="preserve"> </w:t>
      </w:r>
      <w:r>
        <w:t xml:space="preserve">blijven kandidaatbron. De landelijke DTM- en DSM-bronnen uit de</w:t>
      </w:r>
      <w:r>
        <w:t xml:space="preserve"> </w:t>
      </w:r>
      <w:hyperlink r:id="rId84">
        <w:r>
          <w:rPr>
            <w:rStyle w:val="Hyperlink"/>
          </w:rPr>
          <w:t xml:space="preserve">AHN-dataroom</w:t>
        </w:r>
      </w:hyperlink>
      <w:r>
        <w:t xml:space="preserve"> </w:t>
      </w:r>
      <w:r>
        <w:t xml:space="preserve">zijn inmiddels wel gebruikt om de</w:t>
      </w:r>
      <w:r>
        <w:t xml:space="preserve"> </w:t>
      </w:r>
      <w:r>
        <w:t xml:space="preserve">onder 1.8.2 beschreven proxy voor 2014 en 2020 af te leiden en lokaal te</w:t>
      </w:r>
      <w:r>
        <w:t xml:space="preserve"> </w:t>
      </w:r>
      <w:r>
        <w:t xml:space="preserve">controleren. De onderzoeksrasters en de AHN-proxy zijn dus niet dezelfde bron.</w:t>
      </w:r>
    </w:p>
    <w:p>
      <w:pPr>
        <w:pStyle w:val="BodyText"/>
      </w:pPr>
      <w:hyperlink r:id="rId85">
        <w:r>
          <w:rPr>
            <w:rStyle w:val="Hyperlink"/>
            <w:b/>
            <w:bCs/>
          </w:rPr>
          <w:t xml:space="preserve">Landbedekking in vogelplots</w:t>
        </w:r>
      </w:hyperlink>
      <w:r>
        <w:rPr>
          <w:b/>
          <w:bCs/>
        </w:rPr>
        <w:t xml:space="preserve">:</w:t>
      </w:r>
      <w:r>
        <w:t xml:space="preserve"> </w:t>
      </w:r>
      <w:r>
        <w:t xml:space="preserve">de openbare studie van Schmidt-Tauscher, Häger en Van der Hagen uit 2025</w:t>
      </w:r>
      <w:r>
        <w:t xml:space="preserve"> </w:t>
      </w:r>
      <w:r>
        <w:t xml:space="preserve">behandelt 25 BMP-plots met samen 925 hectare. Het openbare supplement bevat de</w:t>
      </w:r>
      <w:r>
        <w:t xml:space="preserve"> </w:t>
      </w:r>
      <w:r>
        <w:t xml:space="preserve">volledige tabel met de oppervlakte van zeven landbedekkingsklassen per plot in</w:t>
      </w:r>
      <w:r>
        <w:t xml:space="preserve"> </w:t>
      </w:r>
      <w:r>
        <w:t xml:space="preserve">2001 en 2022: struweel, bos, boomgroepen, lage vegetatie, riet, kaal zand en</w:t>
      </w:r>
      <w:r>
        <w:t xml:space="preserve"> </w:t>
      </w:r>
      <w:r>
        <w:t xml:space="preserve">water. De classificatie is afgeleid uit luchtfoto's, teruggebracht tot pixels</w:t>
      </w:r>
      <w:r>
        <w:t xml:space="preserve"> </w:t>
      </w:r>
      <w:r>
        <w:t xml:space="preserve">van 5 bij 5 meter en had een totale nauwkeurigheid van 81% in 2001 en 82% in</w:t>
      </w:r>
      <w:r>
        <w:t xml:space="preserve"> </w:t>
      </w:r>
      <w:r>
        <w:t xml:space="preserve">2022. De bron-Excel is op 11 oktober 2026 reproduceerbaar in de lokale</w:t>
      </w:r>
      <w:r>
        <w:t xml:space="preserve"> </w:t>
      </w:r>
      <w:r>
        <w:t xml:space="preserve">broedvogel–vegetatieanalyse gebruikt en met SHA256 in het uitvoermanifest</w:t>
      </w:r>
      <w:r>
        <w:t xml:space="preserve"> </w:t>
      </w:r>
      <w:r>
        <w:t xml:space="preserve">vastgelegd; zij is niet als nieuwe brontabel in de levende database</w:t>
      </w:r>
      <w:r>
        <w:t xml:space="preserve"> </w:t>
      </w:r>
      <w:r>
        <w:t xml:space="preserve">geïmporteerd. M17 heeft in de actuele vogelmatrix geen territoriumplotjaar en</w:t>
      </w:r>
      <w:r>
        <w:t xml:space="preserve"> </w:t>
      </w:r>
      <w:r>
        <w:t xml:space="preserve">valt uit de modellen. De overige vogelgroepen gebruiken 22–24 plots. Bij M71</w:t>
      </w:r>
      <w:r>
        <w:t xml:space="preserve"> </w:t>
      </w:r>
      <w:r>
        <w:t xml:space="preserve">is in beide jaren 47,89 van 48,46 hectare geclassificeerd; de ontbrekende 0,57</w:t>
      </w:r>
      <w:r>
        <w:t xml:space="preserve"> </w:t>
      </w:r>
      <w:r>
        <w:t xml:space="preserve">hectare blijft zichtbaar en de klasseaandelen zijn alleen over het</w:t>
      </w:r>
      <w:r>
        <w:t xml:space="preserve"> </w:t>
      </w:r>
      <w:r>
        <w:t xml:space="preserve">geclassificeerde deel berekend.</w:t>
      </w:r>
    </w:p>
    <w:p>
      <w:pPr>
        <w:pStyle w:val="BodyText"/>
      </w:pPr>
      <w:r>
        <w:t xml:space="preserve">De plot-tabel voegt een ecologisch specifiekere verklarende laag toe dan de</w:t>
      </w:r>
      <w:r>
        <w:t xml:space="preserve"> </w:t>
      </w:r>
      <w:r>
        <w:t xml:space="preserve">CBS-landgebruikgegevens voor 55 plots in 1996, 2010, 2015, 2017 en 2022.</w:t>
      </w:r>
      <w:r>
        <w:t xml:space="preserve"> </w:t>
      </w:r>
      <w:r>
        <w:t xml:space="preserve">Wateroppervlak leverde in alle vijf ruimtelijke validatieblokken een betere</w:t>
      </w:r>
      <w:r>
        <w:t xml:space="preserve"> </w:t>
      </w:r>
      <w:r>
        <w:t xml:space="preserve">logscore voor watervogels. Voor de overige vogelgroepen waren de scores</w:t>
      </w:r>
      <w:r>
        <w:t xml:space="preserve"> </w:t>
      </w:r>
      <w:r>
        <w:t xml:space="preserve">gemengd of te veel modellen numeriek ongeldig; van de 36</w:t>
      </w:r>
      <w:r>
        <w:t xml:space="preserve"> </w:t>
      </w:r>
      <w:r>
        <w:t xml:space="preserve">landbedekkingsvalidaties slaagden er 18.</w:t>
      </w:r>
    </w:p>
    <w:p>
      <w:pPr>
        <w:pStyle w:val="BodyText"/>
      </w:pPr>
      <w:r>
        <w:t xml:space="preserve">Op 19 oktober 2026 zijn de twee oorspronkelijke GeoTIFFs, de QGIS-stijl en de</w:t>
      </w:r>
      <w:r>
        <w:t xml:space="preserve"> </w:t>
      </w:r>
      <w:r>
        <w:t xml:space="preserve">shapefile van de 25 bronplots rechtstreeks van Achim Häger ontvangen en</w:t>
      </w:r>
      <w:r>
        <w:t xml:space="preserve"> </w:t>
      </w:r>
      <w:r>
        <w:t xml:space="preserve">ongewijzigd opgeslagen onder</w:t>
      </w:r>
      <w:r>
        <w:t xml:space="preserve"> </w:t>
      </w:r>
      <w:r>
        <w:rPr>
          <w:rStyle w:val="VerbatimChar"/>
        </w:rPr>
        <w:t xml:space="preserve">Landgebruik/schmidt_tauscher_2025/bron/</w:t>
      </w:r>
      <w:r>
        <w:t xml:space="preserve">. De</w:t>
      </w:r>
      <w:r>
        <w:t xml:space="preserve"> </w:t>
      </w:r>
      <w:r>
        <w:t xml:space="preserve">acht bronbestanden zijn met SHA256 vastgelegd. De GeoTIFFs staan in RD New,</w:t>
      </w:r>
      <w:r>
        <w:t xml:space="preserve"> </w:t>
      </w:r>
      <w:r>
        <w:t xml:space="preserve">omvatten 369.710 geldige pixels in 2001 en 369.662 in 2022 en hebben een</w:t>
      </w:r>
      <w:r>
        <w:t xml:space="preserve"> </w:t>
      </w:r>
      <w:r>
        <w:t xml:space="preserve">resolutie van ongeveer 5 bij 5 meter. Alle 739.372 pixels hebben een bekende</w:t>
      </w:r>
      <w:r>
        <w:t xml:space="preserve"> </w:t>
      </w:r>
      <w:r>
        <w:t xml:space="preserve">klasse en vallen binnen een van de 25 bronplots. Over 350</w:t>
      </w:r>
      <w:r>
        <w:t xml:space="preserve"> </w:t>
      </w:r>
      <w:r>
        <w:t xml:space="preserve">plot–klasse–jaarvergelijkingen is het gemiddelde absolute verschil met het</w:t>
      </w:r>
      <w:r>
        <w:t xml:space="preserve"> </w:t>
      </w:r>
      <w:r>
        <w:t xml:space="preserve">openbare supplement 0,0032 hectare en het maximum 0,030 hectare. De rasters</w:t>
      </w:r>
      <w:r>
        <w:t xml:space="preserve"> </w:t>
      </w:r>
      <w:r>
        <w:t xml:space="preserve">zijn daarmee toegelaten voor afleiding van horizontale structuurmaten.</w:t>
      </w:r>
    </w:p>
    <w:p>
      <w:pPr>
        <w:pStyle w:val="BodyText"/>
      </w:pPr>
      <w:r>
        <w:t xml:space="preserve">Per plot en klasse zijn aandeel, aantal en dichtheid van aaneengesloten</w:t>
      </w:r>
      <w:r>
        <w:t xml:space="preserve"> </w:t>
      </w:r>
      <w:r>
        <w:t xml:space="preserve">vlakken, aandeel van het grootste vlak en randdichtheid berekend. Per plot zijn</w:t>
      </w:r>
      <w:r>
        <w:t xml:space="preserve"> </w:t>
      </w:r>
      <w:r>
        <w:t xml:space="preserve">ook klassenrijkdom, Shannon-diversiteit en totale interne randdichtheid</w:t>
      </w:r>
      <w:r>
        <w:t xml:space="preserve"> </w:t>
      </w:r>
      <w:r>
        <w:t xml:space="preserve">vastgelegd. Tussen 2001 en 2022 stijgt over de 25 plots de mediane interne</w:t>
      </w:r>
      <w:r>
        <w:t xml:space="preserve"> </w:t>
      </w:r>
      <w:r>
        <w:t xml:space="preserve">randdichtheid met 49,0 meter per hectare en de mediane Shannon-diversiteit met</w:t>
      </w:r>
      <w:r>
        <w:t xml:space="preserve"> </w:t>
      </w:r>
      <w:r>
        <w:t xml:space="preserve">0,049; de mediane klassenrijkdom verandert niet. Dit beschrijft ruimtelijke</w:t>
      </w:r>
      <w:r>
        <w:t xml:space="preserve"> </w:t>
      </w:r>
      <w:r>
        <w:t xml:space="preserve">patronen in twee kaartjaren, geen jaarlijkse ontwikkeling of causale relatie.</w:t>
      </w:r>
      <w:r>
        <w:t xml:space="preserve"> </w:t>
      </w:r>
      <w:r>
        <w:t xml:space="preserve">De levering bevat geen trainingspolygonen en geen oorspronkelijke 125</w:t>
      </w:r>
      <w:r>
        <w:t xml:space="preserve"> </w:t>
      </w:r>
      <w:r>
        <w:t xml:space="preserve">validatiepunten. Sandra Schmidt-Tauscher heeft op 20 oktober 2026 bevestigd dat</w:t>
      </w:r>
      <w:r>
        <w:t xml:space="preserve"> </w:t>
      </w:r>
      <w:r>
        <w:t xml:space="preserve">ook de oorspronkelijke trainingspixels niet meer beschikbaar zijn. Zij heeft</w:t>
      </w:r>
      <w:r>
        <w:t xml:space="preserve"> </w:t>
      </w:r>
      <w:r>
        <w:t xml:space="preserve">wel de gebruikte instellingen van de Semi-Automatic Classification Plugin</w:t>
      </w:r>
      <w:r>
        <w:t xml:space="preserve"> </w:t>
      </w:r>
      <w:r>
        <w:t xml:space="preserve">vastgelegd: een Random Forest met 10 beslisbomen en 5.000 trainingspixels. In</w:t>
      </w:r>
      <w:r>
        <w:t xml:space="preserve"> </w:t>
      </w:r>
      <w:r>
        <w:t xml:space="preserve">hun eigen proeven nam de classificatienauwkeurigheid af bij hogere aantallen</w:t>
      </w:r>
      <w:r>
        <w:t xml:space="preserve"> </w:t>
      </w:r>
      <w:r>
        <w:t xml:space="preserve">bomen of trainingspixels. Dit vult de methodebeschrijving aan, maar zonder de</w:t>
      </w:r>
      <w:r>
        <w:t xml:space="preserve"> </w:t>
      </w:r>
      <w:r>
        <w:t xml:space="preserve">gebruikte trainingspixels en validatiepunten kan de classificatie niet exact</w:t>
      </w:r>
      <w:r>
        <w:t xml:space="preserve"> </w:t>
      </w:r>
      <w:r>
        <w:t xml:space="preserve">worden gereproduceerd of op pixelniveau onafhankelijk worden gecontroleerd.</w:t>
      </w:r>
      <w:r>
        <w:t xml:space="preserve"> </w:t>
      </w:r>
      <w:r>
        <w:t xml:space="preserve">Achim meldt bovendien dat vergelijking over meer dan twee beeldjaren ook met</w:t>
      </w:r>
      <w:r>
        <w:t xml:space="preserve"> </w:t>
      </w:r>
      <w:r>
        <w:t xml:space="preserve">textuurmaten moeilijk bleef. De bron meet geen vegetatiehoogte, voedsel,</w:t>
      </w:r>
      <w:r>
        <w:t xml:space="preserve"> </w:t>
      </w:r>
      <w:r>
        <w:t xml:space="preserve">nestgelegenheid of andere habitatkwaliteit.</w:t>
      </w:r>
    </w:p>
    <w:p>
      <w:pPr>
        <w:pStyle w:val="BodyText"/>
      </w:pPr>
      <w:r>
        <w:t xml:space="preserve">Achim Häger en Sandra Schmidt-Tauscher hebben op 20 oktober 2026 beiden</w:t>
      </w:r>
      <w:r>
        <w:t xml:space="preserve"> </w:t>
      </w:r>
      <w:r>
        <w:t xml:space="preserve">schriftelijk ingestemd met gebruik van de twee classificatierasters voor verder</w:t>
      </w:r>
      <w:r>
        <w:t xml:space="preserve"> </w:t>
      </w:r>
      <w:r>
        <w:t xml:space="preserve">onderzoek. De rasters en afgeleide resultaten mogen daarmee in de</w:t>
      </w:r>
      <w:r>
        <w:t xml:space="preserve"> </w:t>
      </w:r>
      <w:r>
        <w:t xml:space="preserve">broedvogel–vegetatieanalyse en de daaruit voortkomende onderzoeksrapportage</w:t>
      </w:r>
      <w:r>
        <w:t xml:space="preserve"> </w:t>
      </w:r>
      <w:r>
        <w:t xml:space="preserve">worden gebruikt. Er is geen open licentie of afzonderlijke toestemming voor</w:t>
      </w:r>
      <w:r>
        <w:t xml:space="preserve"> </w:t>
      </w:r>
      <w:r>
        <w:t xml:space="preserve">openbare verspreiding van de oorspronkelijke GeoTIFFs vastgelegd; die</w:t>
      </w:r>
      <w:r>
        <w:t xml:space="preserve"> </w:t>
      </w:r>
      <w:r>
        <w:t xml:space="preserve">bronbestanden worden daarom niet zelfstandig gepubliceerd.</w:t>
      </w:r>
    </w:p>
    <w:p>
      <w:pPr>
        <w:pStyle w:val="BodyText"/>
      </w:pPr>
      <w:r>
        <w:rPr>
          <w:b/>
          <w:bCs/>
        </w:rPr>
        <w:t xml:space="preserve">KWR-onderzoek:</w:t>
      </w:r>
      <w:r>
        <w:t xml:space="preserve"> </w:t>
      </w:r>
      <w:r>
        <w:t xml:space="preserve">de modelreeks is op 26 oktober 2026 getoetst aan de</w:t>
      </w:r>
      <w:r>
        <w:t xml:space="preserve"> </w:t>
      </w:r>
      <w:r>
        <w:t xml:space="preserve">oorspronkelijke publicaties en actuele KWR-documentatie. HYVEG is in de</w:t>
      </w:r>
      <w:r>
        <w:t xml:space="preserve"> </w:t>
      </w:r>
      <w:r>
        <w:t xml:space="preserve">gevonden publicatie uit 1994 gericht op de relatie tussen hydrologie en planten</w:t>
      </w:r>
      <w:r>
        <w:t xml:space="preserve"> </w:t>
      </w:r>
      <w:r>
        <w:t xml:space="preserve">van vochtige duinvalleien. MODAK is een Kiwa-haalbaarheidsstudie uit 2003 van</w:t>
      </w:r>
      <w:r>
        <w:t xml:space="preserve"> </w:t>
      </w:r>
      <w:r>
        <w:t xml:space="preserve">45 pagina's; de volledige rapporttekst is niet openbaar teruggevonden.</w:t>
      </w:r>
      <w:r>
        <w:t xml:space="preserve"> </w:t>
      </w:r>
      <w:r>
        <w:t xml:space="preserve">PROBE-1 is in 2006 ontwikkeld en wordt volgens de handleiding uit 2025 door</w:t>
      </w:r>
      <w:r>
        <w:t xml:space="preserve"> </w:t>
      </w:r>
      <w:r>
        <w:t xml:space="preserve">KWR voor Dunea, PWN en Waternet gebruikt om op 5- of 10-metergrid het</w:t>
      </w:r>
      <w:r>
        <w:t xml:space="preserve"> </w:t>
      </w:r>
      <w:r>
        <w:t xml:space="preserve">ruimtelijke potentieel van plantengemeenschappen onder hydrologische,</w:t>
      </w:r>
      <w:r>
        <w:t xml:space="preserve"> </w:t>
      </w:r>
      <w:r>
        <w:t xml:space="preserve">depositie- en beheerscenario's te berekenen. De geraadpleegde bronnen tonen een</w:t>
      </w:r>
      <w:r>
        <w:t xml:space="preserve"> </w:t>
      </w:r>
      <w:r>
        <w:t xml:space="preserve">inhoudelijke ontwikkellijn, maar bewijzen niet dat HYVEG-code of -coëfficiënten</w:t>
      </w:r>
      <w:r>
        <w:t xml:space="preserve"> </w:t>
      </w:r>
      <w:r>
        <w:t xml:space="preserve">rechtstreeks via MODAK in PROBE zijn overgenomen.</w:t>
      </w:r>
    </w:p>
    <w:p>
      <w:pPr>
        <w:pStyle w:val="BodyText"/>
      </w:pPr>
      <w:r>
        <w:t xml:space="preserve">PROBE-3 is in 2016 beproefd voor korte, grondwateronafhankelijke droge</w:t>
      </w:r>
      <w:r>
        <w:t xml:space="preserve"> </w:t>
      </w:r>
      <w:r>
        <w:t xml:space="preserve">duinvegetatie. De vegetatiemodule onderscheidde zes associaties en classificeerde</w:t>
      </w:r>
      <w:r>
        <w:t xml:space="preserve"> </w:t>
      </w:r>
      <w:r>
        <w:t xml:space="preserve">82% van een achtergehouden helft van ruim 35.000 landelijke vegetatieopnamen</w:t>
      </w:r>
      <w:r>
        <w:t xml:space="preserve"> </w:t>
      </w:r>
      <w:r>
        <w:t xml:space="preserve">juist. De temporele veldtoets omvatte echter 30 proefvlakken in de</w:t>
      </w:r>
      <w:r>
        <w:t xml:space="preserve"> </w:t>
      </w:r>
      <w:r>
        <w:t xml:space="preserve">Luchterduinen. Het rapport noemt onder meer te hoge biomassaschattingen en het</w:t>
      </w:r>
      <w:r>
        <w:t xml:space="preserve"> </w:t>
      </w:r>
      <w:r>
        <w:t xml:space="preserve">ontbreken van begrazing, konijnen, mossen, korstmossen, verspreiding en</w:t>
      </w:r>
      <w:r>
        <w:t xml:space="preserve"> </w:t>
      </w:r>
      <w:r>
        <w:t xml:space="preserve">vertraagde reacties. Dit is geen volledige mislukking, maar evenmin een</w:t>
      </w:r>
      <w:r>
        <w:t xml:space="preserve"> </w:t>
      </w:r>
      <w:r>
        <w:t xml:space="preserve">gevalideerd historisch voorspelmodel voor Meijendel. Het door Harrie Van der</w:t>
      </w:r>
      <w:r>
        <w:t xml:space="preserve"> </w:t>
      </w:r>
      <w:r>
        <w:t xml:space="preserve">Hagen genoemde Dunea/KWR-project van omstreeks 2023 met weinig voorspellende</w:t>
      </w:r>
      <w:r>
        <w:t xml:space="preserve"> </w:t>
      </w:r>
      <w:r>
        <w:t xml:space="preserve">waarde is niet als afzonderlijk openbaar rapport geïdentificeerd en blijft op</w:t>
      </w:r>
      <w:r>
        <w:t xml:space="preserve"> </w:t>
      </w:r>
      <w:r>
        <w:t xml:space="preserve">dat punt ervaringsinformatie. KWR publiceerde in 2025 en 2026 nieuw empirisch</w:t>
      </w:r>
      <w:r>
        <w:t xml:space="preserve"> </w:t>
      </w:r>
      <w:r>
        <w:t xml:space="preserve">onderzoek naar droge kustduinvegetatie.</w:t>
      </w:r>
    </w:p>
    <w:p>
      <w:pPr>
        <w:pStyle w:val="BodyText"/>
      </w:pPr>
      <w:r>
        <w:t xml:space="preserve">Een schemazoeking in alle tabellen en kolommen van de levende MySQL-database</w:t>
      </w:r>
      <w:r>
        <w:t xml:space="preserve"> </w:t>
      </w:r>
      <w:r>
        <w:rPr>
          <w:rStyle w:val="VerbatimChar"/>
        </w:rPr>
        <w:t xml:space="preserve">Meijendel</w:t>
      </w:r>
      <w:r>
        <w:t xml:space="preserve"> </w:t>
      </w:r>
      <w:r>
        <w:t xml:space="preserve">op 26 oktober 2026 vond nul namen voor GVG, GLG,</w:t>
      </w:r>
      <w:r>
        <w:t xml:space="preserve"> </w:t>
      </w:r>
      <w:r>
        <w:t xml:space="preserve">wortelzonecalcium of vegetatieassociatie. Dit bewijst niet dat afzonderlijke</w:t>
      </w:r>
      <w:r>
        <w:t xml:space="preserve"> </w:t>
      </w:r>
      <w:r>
        <w:t xml:space="preserve">bronnen buiten de database geen hydrologische of vegetatiekundige informatie</w:t>
      </w:r>
      <w:r>
        <w:t xml:space="preserve"> </w:t>
      </w:r>
      <w:r>
        <w:t xml:space="preserve">bevatten, maar wel dat de voor PROBE herkenbare gebiedsdekkende invoerset niet</w:t>
      </w:r>
      <w:r>
        <w:t xml:space="preserve"> </w:t>
      </w:r>
      <w:r>
        <w:t xml:space="preserve">als zodanig in de levende database is opgeslagen. PROBE voorspelt bovendien</w:t>
      </w:r>
      <w:r>
        <w:t xml:space="preserve"> </w:t>
      </w:r>
      <w:r>
        <w:t xml:space="preserve">vegetatie, geen vogels, en vervangt geen waargenomen tijdreeks van horizontale</w:t>
      </w:r>
      <w:r>
        <w:t xml:space="preserve"> </w:t>
      </w:r>
      <w:r>
        <w:t xml:space="preserve">structuur. Er zijn nul</w:t>
      </w:r>
      <w:r>
        <w:t xml:space="preserve"> </w:t>
      </w:r>
      <w:r>
        <w:t xml:space="preserve">digitale PROBE-uitvoerbestanden of invoerrasters geïmporteerd. Het onderzoek</w:t>
      </w:r>
      <w:r>
        <w:t xml:space="preserve"> </w:t>
      </w:r>
      <w:r>
        <w:t xml:space="preserve">verandert daarom geen analysewaarde of bronstatus. De betekenis voor de</w:t>
      </w:r>
      <w:r>
        <w:t xml:space="preserve"> </w:t>
      </w:r>
      <w:r>
        <w:t xml:space="preserve">broedvogel–vegetatieanalyse, de beperkingen per model en de geraadpleegde</w:t>
      </w:r>
      <w:r>
        <w:t xml:space="preserve"> </w:t>
      </w:r>
      <w:r>
        <w:t xml:space="preserve">primaire bronnen staan in</w:t>
      </w:r>
      <w:r>
        <w:t xml:space="preserve"> </w:t>
      </w:r>
      <w:r>
        <w:rPr>
          <w:rStyle w:val="VerbatimChar"/>
        </w:rPr>
        <w:t xml:space="preserve">analyses/broedvogel_vegetatie_power/MODAK_PROBE_HYVEG_BRONONDERZOEK.md</w:t>
      </w:r>
      <w:r>
        <w:t xml:space="preserve">.</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6" w:name="_5a3c854a1ae73aceac94ca91c157868f870ab17"/>
      <w:r>
        <w:t xml:space="preserve">3.12. Geografische namen en historische paden</w:t>
      </w:r>
      <w:bookmarkEnd w:id="86"/>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7">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8">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9">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90" w:name="_c540a83ee65aaec11aa446aec0815d16fd21e21"/>
      <w:r>
        <w:t xml:space="preserve">4. Verwachte aanvullingen</w:t>
      </w:r>
      <w:bookmarkEnd w:id="90"/>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91" w:name="_422e6271160c2b04a3b59fb5b59cfcc2e3afc55"/>
      <w:r>
        <w:t xml:space="preserve">5. Bronnen die niet verder worden uitgewerkt</w:t>
      </w:r>
      <w:bookmarkEnd w:id="91"/>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2" w:name="_b05dec49988a12f7955d21ff17f1c91e4d061eb"/>
      <w:r>
        <w:t xml:space="preserve">6. Gebruik van dit register</w:t>
      </w:r>
      <w:bookmarkEnd w:id="92"/>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3" w:name="_67781990bcb7d7d43cc312a7ef48f37a1f83265"/>
      <w:r>
        <w:t xml:space="preserve">7. Actieplan</w:t>
      </w:r>
      <w:bookmarkEnd w:id="93"/>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4" w:name="_d7f889e2150e602eaeb242f489896c9b52af547"/>
      <w:r>
        <w:t xml:space="preserve">Fase 1 — openbare, direct toetsbare bronnen</w:t>
      </w:r>
      <w:bookmarkEnd w:id="94"/>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5" w:name="_a67120beb48c3916f8a53c623f303ce8b8a6005"/>
      <w:r>
        <w:t xml:space="preserve">Fase 2 — reeksen met grote historische of trendwaarde</w:t>
      </w:r>
      <w:bookmarkEnd w:id="95"/>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6" w:name="_c96f79f2027e81b7ab280f9bf69df5af8bdf464"/>
      <w:r>
        <w:t xml:space="preserve">Fase 3 — reeds bekende bronhouders en contextdatasets</w:t>
      </w:r>
      <w:bookmarkEnd w:id="96"/>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7" w:name="_d490f73b19661b8ff0d346b94e527be91e989c7"/>
      <w:r>
        <w:t xml:space="preserve">Vaste werkwijze per bron</w:t>
      </w:r>
      <w:bookmarkEnd w:id="97"/>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8" w:name="_1e50ec235a164d1e043cda4cec7be66fb154af3"/>
      <w:r>
        <w:t xml:space="preserve">Dekking van de internetcontrole</w:t>
      </w:r>
      <w:bookmarkEnd w:id="98"/>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9" w:name="_5001ec8ecf742000e2504f4f268bea177f3f158"/>
      <w:r>
        <w:t xml:space="preserve">Achterliggende verantwoording</w:t>
      </w:r>
      <w:bookmarkEnd w:id="99"/>
    </w:p>
    <w:p>
      <w:pPr>
        <w:pStyle w:val="Compact"/>
        <w:numPr>
          <w:ilvl w:val="0"/>
          <w:numId w:val="1005"/>
        </w:numPr>
      </w:pPr>
      <w:hyperlink r:id="rId100">
        <w:r>
          <w:rPr>
            <w:rStyle w:val="Hyperlink"/>
          </w:rPr>
          <w:t xml:space="preserve">NDFF-staging en bronvergelijking</w:t>
        </w:r>
      </w:hyperlink>
    </w:p>
    <w:p>
      <w:pPr>
        <w:pStyle w:val="Compact"/>
        <w:numPr>
          <w:ilvl w:val="0"/>
          <w:numId w:val="1005"/>
        </w:numPr>
      </w:pPr>
      <w:hyperlink r:id="rId101">
        <w:r>
          <w:rPr>
            <w:rStyle w:val="Hyperlink"/>
          </w:rPr>
          <w:t xml:space="preserve">NDFF-protocolaudit</w:t>
        </w:r>
      </w:hyperlink>
    </w:p>
    <w:p>
      <w:pPr>
        <w:pStyle w:val="Compact"/>
        <w:numPr>
          <w:ilvl w:val="0"/>
          <w:numId w:val="1005"/>
        </w:numPr>
      </w:pPr>
      <w:hyperlink r:id="rId102">
        <w:r>
          <w:rPr>
            <w:rStyle w:val="Hyperlink"/>
          </w:rPr>
          <w:t xml:space="preserve">Scheiding tussen Meijendel en Meijendel_bronnen</w:t>
        </w:r>
      </w:hyperlink>
    </w:p>
    <w:p>
      <w:pPr>
        <w:pStyle w:val="Compact"/>
        <w:numPr>
          <w:ilvl w:val="0"/>
          <w:numId w:val="1005"/>
        </w:numPr>
      </w:pPr>
      <w:hyperlink r:id="rId103">
        <w:r>
          <w:rPr>
            <w:rStyle w:val="Hyperlink"/>
          </w:rPr>
          <w:t xml:space="preserve">Ruimtelijke audit van contextbronnen</w:t>
        </w:r>
      </w:hyperlink>
    </w:p>
    <w:p>
      <w:pPr>
        <w:pStyle w:val="Compact"/>
        <w:numPr>
          <w:ilvl w:val="0"/>
          <w:numId w:val="1005"/>
        </w:numPr>
      </w:pPr>
      <w:hyperlink r:id="rId104">
        <w:r>
          <w:rPr>
            <w:rStyle w:val="Hyperlink"/>
          </w:rPr>
          <w:t xml:space="preserve">Importbesluit duinvalleivegetatie</w:t>
        </w:r>
      </w:hyperlink>
    </w:p>
    <w:p>
      <w:pPr>
        <w:pStyle w:val="Compact"/>
        <w:numPr>
          <w:ilvl w:val="0"/>
          <w:numId w:val="1005"/>
        </w:numPr>
      </w:pPr>
      <w:hyperlink r:id="rId105">
        <w:r>
          <w:rPr>
            <w:rStyle w:val="Hyperlink"/>
          </w:rPr>
          <w:t xml:space="preserve">Ruimtelijke bronlagen en toelatingsregels</w:t>
        </w:r>
      </w:hyperlink>
    </w:p>
    <w:p>
      <w:pPr>
        <w:pStyle w:val="Compact"/>
        <w:numPr>
          <w:ilvl w:val="0"/>
          <w:numId w:val="1005"/>
        </w:numPr>
      </w:pPr>
      <w:hyperlink r:id="rId106">
        <w:r>
          <w:rPr>
            <w:rStyle w:val="Hyperlink"/>
          </w:rPr>
          <w:t xml:space="preserve">Beveiligde NDFF-ontvangst</w:t>
        </w:r>
      </w:hyperlink>
    </w:p>
    <w:p>
      <w:pPr>
        <w:pStyle w:val="Heading2"/>
      </w:pPr>
      <w:bookmarkStart w:id="107" w:name="_c4c5e83029c8593231be35dbc87830101c46a33"/>
      <w:r>
        <w:t xml:space="preserve">Integratie begrazing en toegankelijkheid op 16 oktober 2026</w:t>
      </w:r>
      <w:bookmarkEnd w:id="107"/>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8">
        <w:r>
          <w:rPr>
            <w:rStyle w:val="Hyperlink"/>
          </w:rPr>
          <w:t xml:space="preserve">https://dwc.tdwg.org/terms/</w:t>
        </w:r>
      </w:hyperlink>
      <w:r>
        <w:t xml:space="preserve">) en TDWG TCS (</w:t>
      </w:r>
      <w:hyperlink r:id="rId109">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10" w:name="_bbb680e0e85eb3eb154bfc12bc9c8fc0b3d6d97"/>
      <w:r>
        <w:t xml:space="preserve">Rechtstreekse aansluiting zonder compatibiliteitsviews</w:t>
      </w:r>
      <w:bookmarkEnd w:id="110"/>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gis/audit/externe_ecologie_fase1_2_manifest.json" TargetMode="External" /><Relationship Type="http://schemas.openxmlformats.org/officeDocument/2006/relationships/hyperlink" Id="rId102" Target="bronnen/MEIJENDEL_BRONNEN.md" TargetMode="External" /><Relationship Type="http://schemas.openxmlformats.org/officeDocument/2006/relationships/hyperlink" Id="rId103" Target="bronnen/audits/MEIJENDEL_BRONNEN_AUDIT.md" TargetMode="External" /><Relationship Type="http://schemas.openxmlformats.org/officeDocument/2006/relationships/hyperlink" Id="rId101" Target="bronnen/audits/NDFF_PROTOCOLAUDIT.md" TargetMode="External" /><Relationship Type="http://schemas.openxmlformats.org/officeDocument/2006/relationships/hyperlink" Id="rId100" Target="bronnen/bronvergelijkingen/NDFF_STAGINGDATASET.md" TargetMode="External" /><Relationship Type="http://schemas.openxmlformats.org/officeDocument/2006/relationships/hyperlink" Id="rId104" Target="bronnen/importbesluiten/DUINVALLEI_VEGETATIE.md" TargetMode="External" /><Relationship Type="http://schemas.openxmlformats.org/officeDocument/2006/relationships/hyperlink" Id="rId105" Target="bronnen/importbesluiten/MEIJENDEL_RUIMTELIJKE_LAGEN.md" TargetMode="External" /><Relationship Type="http://schemas.openxmlformats.org/officeDocument/2006/relationships/hyperlink" Id="rId106"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5" Target="https://doi.org/10.1007/s10531-025-03175-x" TargetMode="External" /><Relationship Type="http://schemas.openxmlformats.org/officeDocument/2006/relationships/hyperlink" Id="rId79"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1" Target="https://doi.org/10.17026/DANS-28X-UT8Q" TargetMode="External" /><Relationship Type="http://schemas.openxmlformats.org/officeDocument/2006/relationships/hyperlink" Id="rId77" Target="https://doi.org/10.5061/dryad.8cz8w9gnc" TargetMode="External" /><Relationship Type="http://schemas.openxmlformats.org/officeDocument/2006/relationships/hyperlink" Id="rId59" Target="https://doi.org/10.5281/zenodo.21796880" TargetMode="External" /><Relationship Type="http://schemas.openxmlformats.org/officeDocument/2006/relationships/hyperlink" Id="rId75" Target="https://doi.org/10.6084/m9.figshare.25425601.v1" TargetMode="External" /><Relationship Type="http://schemas.openxmlformats.org/officeDocument/2006/relationships/hyperlink" Id="rId108" Target="https://dwc.tdwg.org/terms/" TargetMode="External" /><Relationship Type="http://schemas.openxmlformats.org/officeDocument/2006/relationships/hyperlink" Id="rId89" Target="https://edepot.wur.nl/183358" TargetMode="External" /><Relationship Type="http://schemas.openxmlformats.org/officeDocument/2006/relationships/hyperlink" Id="rId87" Target="https://edepot.wur.nl/393293" TargetMode="External" /><Relationship Type="http://schemas.openxmlformats.org/officeDocument/2006/relationships/hyperlink" Id="rId88" Target="https://pas.ecologischeautoriteit.nl/files/ea/5004/011152-5004-cultuursporen-in-het-duin.pdf" TargetMode="External" /><Relationship Type="http://schemas.openxmlformats.org/officeDocument/2006/relationships/hyperlink" Id="rId72" Target="https://repository.naturalis.nl/pub/317221" TargetMode="External" /><Relationship Type="http://schemas.openxmlformats.org/officeDocument/2006/relationships/hyperlink" Id="rId70" Target="https://repository.naturalis.nl/pub/317242" TargetMode="External" /><Relationship Type="http://schemas.openxmlformats.org/officeDocument/2006/relationships/hyperlink" Id="rId109" Target="https://tcs.tdwg.org/terms/" TargetMode="External" /><Relationship Type="http://schemas.openxmlformats.org/officeDocument/2006/relationships/hyperlink" Id="rId84" Target="https://www.ahn.nl/dataroom" TargetMode="External" /><Relationship Type="http://schemas.openxmlformats.org/officeDocument/2006/relationships/hyperlink" Id="rId56"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9" Target="../gis/audit/externe_ecologie_fase1_2_manifest.json" TargetMode="External" /><Relationship Type="http://schemas.openxmlformats.org/officeDocument/2006/relationships/hyperlink" Id="rId102" Target="bronnen/MEIJENDEL_BRONNEN.md" TargetMode="External" /><Relationship Type="http://schemas.openxmlformats.org/officeDocument/2006/relationships/hyperlink" Id="rId103" Target="bronnen/audits/MEIJENDEL_BRONNEN_AUDIT.md" TargetMode="External" /><Relationship Type="http://schemas.openxmlformats.org/officeDocument/2006/relationships/hyperlink" Id="rId101" Target="bronnen/audits/NDFF_PROTOCOLAUDIT.md" TargetMode="External" /><Relationship Type="http://schemas.openxmlformats.org/officeDocument/2006/relationships/hyperlink" Id="rId100" Target="bronnen/bronvergelijkingen/NDFF_STAGINGDATASET.md" TargetMode="External" /><Relationship Type="http://schemas.openxmlformats.org/officeDocument/2006/relationships/hyperlink" Id="rId104" Target="bronnen/importbesluiten/DUINVALLEI_VEGETATIE.md" TargetMode="External" /><Relationship Type="http://schemas.openxmlformats.org/officeDocument/2006/relationships/hyperlink" Id="rId105" Target="bronnen/importbesluiten/MEIJENDEL_RUIMTELIJKE_LAGEN.md" TargetMode="External" /><Relationship Type="http://schemas.openxmlformats.org/officeDocument/2006/relationships/hyperlink" Id="rId106"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5" Target="https://doi.org/10.1007/s10531-025-03175-x" TargetMode="External" /><Relationship Type="http://schemas.openxmlformats.org/officeDocument/2006/relationships/hyperlink" Id="rId79"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1" Target="https://doi.org/10.17026/DANS-28X-UT8Q" TargetMode="External" /><Relationship Type="http://schemas.openxmlformats.org/officeDocument/2006/relationships/hyperlink" Id="rId77" Target="https://doi.org/10.5061/dryad.8cz8w9gnc" TargetMode="External" /><Relationship Type="http://schemas.openxmlformats.org/officeDocument/2006/relationships/hyperlink" Id="rId59" Target="https://doi.org/10.5281/zenodo.21796880" TargetMode="External" /><Relationship Type="http://schemas.openxmlformats.org/officeDocument/2006/relationships/hyperlink" Id="rId75" Target="https://doi.org/10.6084/m9.figshare.25425601.v1" TargetMode="External" /><Relationship Type="http://schemas.openxmlformats.org/officeDocument/2006/relationships/hyperlink" Id="rId108" Target="https://dwc.tdwg.org/terms/" TargetMode="External" /><Relationship Type="http://schemas.openxmlformats.org/officeDocument/2006/relationships/hyperlink" Id="rId89" Target="https://edepot.wur.nl/183358" TargetMode="External" /><Relationship Type="http://schemas.openxmlformats.org/officeDocument/2006/relationships/hyperlink" Id="rId87" Target="https://edepot.wur.nl/393293" TargetMode="External" /><Relationship Type="http://schemas.openxmlformats.org/officeDocument/2006/relationships/hyperlink" Id="rId88" Target="https://pas.ecologischeautoriteit.nl/files/ea/5004/011152-5004-cultuursporen-in-het-duin.pdf" TargetMode="External" /><Relationship Type="http://schemas.openxmlformats.org/officeDocument/2006/relationships/hyperlink" Id="rId72" Target="https://repository.naturalis.nl/pub/317221" TargetMode="External" /><Relationship Type="http://schemas.openxmlformats.org/officeDocument/2006/relationships/hyperlink" Id="rId70" Target="https://repository.naturalis.nl/pub/317242" TargetMode="External" /><Relationship Type="http://schemas.openxmlformats.org/officeDocument/2006/relationships/hyperlink" Id="rId109" Target="https://tcs.tdwg.org/terms/" TargetMode="External" /><Relationship Type="http://schemas.openxmlformats.org/officeDocument/2006/relationships/hyperlink" Id="rId84" Target="https://www.ahn.nl/dataroom" TargetMode="External" /><Relationship Type="http://schemas.openxmlformats.org/officeDocument/2006/relationships/hyperlink" Id="rId56"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2026-10-26T09:39:55Z</dcterms:created>
  <dcterms:modified xsi:type="dcterms:W3CDTF">2026-10-26T09:39:55Z</dcterms:modified>
</cp:coreProperties>
</file>

<file path=docProps/custom.xml><?xml version="1.0" encoding="utf-8"?>
<Properties xmlns="http://schemas.openxmlformats.org/officeDocument/2006/custom-properties" xmlns:vt="http://schemas.openxmlformats.org/officeDocument/2006/docPropsVTypes"/>
</file>