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rPr>
        <w:t>Stand: 28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rPr>
        <w:t>Gebruik van de volledige PQ-samenstelling, 11 oktober 2026.</w:t>
      </w:r>
      <w:r>
        <w:t xml:space="preserve"> Voor de broedvogel–vegetatieanalyse zijn 1.314 van de 2.007 provinciale opnamen aan 35 actieve Natura 2000-vogelplots gekoppeld. Zij vormen 501 PQ-plotjaren en bevatten 642 van de 714 centrale taxa over 1981–2025. Een Hellinger-transformatie en drie compositieassen vatten 27,8% van de variatie samen. In de vogeloverlap van 37.140 soort–plot–jaarrijen, 406 vogelplotjaren, 35 plots en 154 soorten over 1989–2025 verbeteren deze assen de ruimtelijke voorspelling in vier van vijf plotblokken, maar niet de voorspelling van latere jaren in twee tijdsblokken. De uitkomst maakt de provinciale PQ-reeks bruikbaarder voor ruimtelijke habitatverschillen, maar levert nog geen voorspellende relatie tussen vegetatieverandering en vogelverandering.</w:t>
      </w:r>
    </w:p>
    <w:p>
      <w:pPr>
        <w:pStyle w:val="BodyText"/>
      </w:pPr>
      <w:r>
        <w:rPr>
          <w:b/>
        </w:rPr>
        <w:t>Ecologische PQ-gradiënten, 28 oktober 2026.</w:t>
      </w:r>
      <w:r>
        <w:t xml:space="preserve"> Voor de nieuwe analyse van verandering binnen dezelfde plot zijn de 642 taxa uit de 1.314 gekoppelde PQ-opnamen onafhankelijk van de vogeluitkomsten beoordeeld met EcoDbase uit SynBioSys. Deze referentietabel bevat per plant onder meer de ecotoopgroepen van Runhaar, sociologische groepen voor natte duinvalleien en droge duingraslanden, levensvorm en groeivorm. De officiële ZIP-download is niet in de database of als ruwe kopie in Git opgenomen; iedere formele run haalt hem opnieuw op en controleert SHA-256 993a934f55d3b4ceb6044040ec38d8e69f9f469b12de03e1044d2face30ca045. De licentie van dit afzonderlijke downloadbestand is op de downloadpagina en in de meegeleverde toelichting niet vermeld. De bron wordt daarom alleen als herleidbare analytische referentie gebruikt en niet door het project heruitgegeven.</w:t>
      </w:r>
    </w:p>
    <w:p>
      <w:pPr>
        <w:pStyle w:val="BodyText"/>
      </w:pPr>
      <w:r>
        <w:rPr>
          <w:b/>
        </w:rPr>
        <w:t>Met exacte namen, bestaande bronaliassen, een eenduidige brede soortnaamkoppeling en de reeds vastgelegde taxongroepen voor mossen, levermossen, korstmossen en algen zijn 528 van 642 taxa aan ten minste één van vijf gradiënten gekoppeld.</w:t>
      </w:r>
      <w:r>
        <w:t xml:space="preserve"> Meervoudige toedeling is toegestaan, maar de bedekking van een taxon wordt over zijn gradiënten verdeeld en niet dubbel geteld. Van de 501 PQ-plotjaren uit 1981–2025 halen 485 in alle 35 plots de vooraf gekozen eis dat minimaal 80% van de totale bronbedekking is ingedeeld. Alleen werkelijk opeenvolgende plotjaren die beide aan die eis voldoen vormen een veranderingsinterval: 441 intervallen, waarvan 164 één, 159 twee, 69 drie en 44 vier jaar lang zijn. De resterende vier intervallen duren vijf, zes, zeven of dertien jaar. De vijf gradiënten veranderen ieder in 32–35 plots. De gradiënttabellen zijn afgeleide analyseproducten, geen wijziging van de provinciale PQ-bron of de levende database.</w:t>
      </w:r>
    </w:p>
    <w:p>
      <w:pPr>
        <w:pStyle w:val="BodyText"/>
      </w:pPr>
      <w:r>
        <w:rPr>
          <w:b/>
        </w:rPr>
        <w:t xml:space="preserve">Niet-lineair vertraagd vogelmodel, 28 oktober 2026. </w:t>
      </w:r>
      <w:r>
        <w:t>Run 20261028T162051Z-70d6fa9bbef7 koppelt ieder vogelplotjaar hoogstens eenmaal, aan de meest recente voorafgaande geldige PQ-verandering. De gemeenschapsmodellen gebruiken 650 vogelplotjaren in 35 plots over 1994–2025, 136 vogelsoorten en 362 veranderingsintervallen; de feitelijke vertraging loopt tot veertien jaar. Zeventien vooraf gekozen relaties zijn voor zowel territoriumaantal als aanwezigheid vergeleken met een basis- en lineair model. Van 102 volledige modellen waren er 101 numeriek geldig; van 204 validatievergelijkingen 189. Drie territoriumrelaties voorspelden in vijf geldige ruimtelijke blokken en latere jaren beter dan beide eenvoudigere modellen: duingrasland met de gehele vogelgemeenschap, bomen/bos met de gehele gemeenschap en duingrasland met bodemfoeragerende insecteneters. Hun langere effectintervallen omvatten echter steeds de waarde één en een afzonderlijke analyse van negen tot 24 grote, niet-overlappende gebeurtenissen per relatie bevestigde de richting niet. De provinciale PQ-reeks levert daarmee drie voorspellende kandidaten voor een poweranalyse, maar nog geen robuust bewijs voor een ecologische oorzaak-gevolgrelatie.</w:t>
      </w:r>
    </w:p>
    <w:p>
      <w:pPr>
        <w:pStyle w:val="BodyText"/>
      </w:pPr>
      <w:r>
        <w:rPr>
          <w:b/>
        </w:rPr>
        <w:t>Vergelijking met NDFF, 10 oktober 2026.</w:t>
      </w:r>
      <w:r>
        <w:t xml:space="preserve"> 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 docs/bronnen/bronvergelijkingen/NDFF_STAGINGDATASET.md.</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levende database op 11 oktober 2026.</w:t>
      </w:r>
      <w:r>
        <w:t xml:space="preserve"> </w:t>
      </w:r>
      <w:r>
        <w:t xml:space="preserve">24.837</w:t>
      </w:r>
      <w:r>
        <w:t xml:space="preserve"> </w:t>
      </w:r>
      <w:r>
        <w:t xml:space="preserve">dagregels, 1 januari 1958 tot en met 31 december 2025.</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De huidige reeks eindigt met het volledige kalenderjaar 2025.</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De huidige tabel beschrijft maaiveldhoogte en</w:t>
      </w:r>
      <w:r>
        <w:t xml:space="preserve"> </w:t>
      </w:r>
      <w:r>
        <w:t xml:space="preserve">hoogtevariatie per plot. Eén peiljaar geeft geen ontwikkeling door de tijd en</w:t>
      </w:r>
      <w:r>
        <w:t xml:space="preserve"> </w:t>
      </w:r>
      <w:r>
        <w:t xml:space="preserve">een DTM meet geen vegetatiehoogte.</w:t>
      </w:r>
    </w:p>
    <w:p>
      <w:pPr>
        <w:pStyle w:val="BodyText"/>
      </w:pPr>
      <w:r>
        <w:t xml:space="preserve">Voor de vogel–vegetatieanalyse is daarnaast een reproduceerbare proxy uit</w:t>
      </w:r>
      <w:r>
        <w:t xml:space="preserve"> </w:t>
      </w:r>
      <w:r>
        <w:t xml:space="preserve">AHN2, AHN3, AHN4 en AHN5 afgeleid. Deze analyse-uitvoer bevat 220 regels: 55</w:t>
      </w:r>
      <w:r>
        <w:t xml:space="preserve"> </w:t>
      </w:r>
      <w:r>
        <w:t xml:space="preserve">plots voor de structuurmomenten 2008, 2014, 2020 en 2023, telkens DSM minus</w:t>
      </w:r>
      <w:r>
        <w:t xml:space="preserve"> </w:t>
      </w:r>
      <w:r>
        <w:t xml:space="preserve">DTM op hetzelfde tweemetergrid. Vastgelegd zijn hoogteverdeling, aandelen open</w:t>
      </w:r>
      <w:r>
        <w:t xml:space="preserve"> </w:t>
      </w:r>
      <w:r>
        <w:t xml:space="preserve">terrein, lage vegetatie, struweel en bomen en randlengte per hectare. Pixels</w:t>
      </w:r>
      <w:r>
        <w:t xml:space="preserve"> </w:t>
      </w:r>
      <w:r>
        <w:t xml:space="preserve">boven 45 meter zijn als niet-vegetatieve uitbijter uitgesloten. De afgeleide</w:t>
      </w:r>
      <w:r>
        <w:t xml:space="preserve"> </w:t>
      </w:r>
      <w:r>
        <w:t xml:space="preserve">waarden en de controles op bronhashes, rastergelijkheid, volledigheid en</w:t>
      </w:r>
      <w:r>
        <w:t xml:space="preserve"> </w:t>
      </w:r>
      <w:r>
        <w:t xml:space="preserve">overgangen staan onder</w:t>
      </w:r>
      <w:r>
        <w:t xml:space="preserve"> </w:t>
      </w:r>
      <w:r>
        <w:rPr>
          <w:rStyle w:val="VerbatimChar"/>
        </w:rPr>
        <w:t xml:space="preserve">analyses/broedvogel_vegetatie_power/resultaten/</w:t>
      </w:r>
      <w:r>
        <w:t xml:space="preserve">. Zij zijn niet als primaire</w:t>
      </w:r>
      <w:r>
        <w:t xml:space="preserve"> </w:t>
      </w:r>
      <w:r>
        <w:t xml:space="preserve">bronmeting in de levende database opgenomen. De vier cycli maken een</w:t>
      </w:r>
      <w:r>
        <w:t xml:space="preserve"> </w:t>
      </w:r>
      <w:r>
        <w:t xml:space="preserve">historische tijdstoets mogelijk; in vier vogelgroepmodellen slaagde alleen de</w:t>
      </w:r>
      <w:r>
        <w:t xml:space="preserve"> </w:t>
      </w:r>
      <w:r>
        <w:t xml:space="preserve">boomgroeptoets numeriek en die leverde geen robuuste voorspellingswinst.</w:t>
      </w:r>
    </w:p>
    <w:p>
      <w:pPr>
        <w:pStyle w:val="BodyText"/>
      </w:pPr>
      <w:r>
        <w:t xml:space="preserve">AHN1 uit 1997–1998 is afzonderlijk beoordeeld op 55 plots. Tien historische</w:t>
      </w:r>
      <w:r>
        <w:t xml:space="preserve"> </w:t>
      </w:r>
      <w:r>
        <w:t xml:space="preserve">grond- en niet-grondbestanden leveren binnen het analysevenster 12.318.672</w:t>
      </w:r>
      <w:r>
        <w:t xml:space="preserve"> </w:t>
      </w:r>
      <w:r>
        <w:t xml:space="preserve">punten. Op het gekozen vijfmeterraster heeft 68,17% van 1.663.416 cellen een</w:t>
      </w:r>
      <w:r>
        <w:t xml:space="preserve"> </w:t>
      </w:r>
      <w:r>
        <w:t xml:space="preserve">grondpunt en 71,36% enig punt. Twee verdedigbare DSM-afleidingen verschillen</w:t>
      </w:r>
      <w:r>
        <w:t xml:space="preserve"> </w:t>
      </w:r>
      <w:r>
        <w:t xml:space="preserve">gemiddeld 48,0 procentpunt in open terrein, 14,0 procentpunt in bomen en 4,81</w:t>
      </w:r>
      <w:r>
        <w:t xml:space="preserve"> </w:t>
      </w:r>
      <w:r>
        <w:t xml:space="preserve">meter in de 95e hoogtepercentiel. AHN1 blijft daarom een experimentele</w:t>
      </w:r>
      <w:r>
        <w:t xml:space="preserve"> </w:t>
      </w:r>
      <w:r>
        <w:t xml:space="preserve">gevoeligheidsanalyse en is niet als vergelijkbaar vijfde moment aan AHN2–AHN5</w:t>
      </w:r>
      <w:r>
        <w:t xml:space="preserve"> </w:t>
      </w:r>
      <w:r>
        <w:t xml:space="preserve">toegevoegd.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De bron is op 12 oktober 2026 formeel gekoppeld aan de</w:t>
      </w:r>
      <w:r>
        <w:t xml:space="preserve"> </w:t>
      </w:r>
      <w:r>
        <w:t xml:space="preserve">broedvogelreeks. Na toepassing van de Natura 2000-scope en de geldige</w:t>
      </w:r>
      <w:r>
        <w:t xml:space="preserve"> </w:t>
      </w:r>
      <w:r>
        <w:t xml:space="preserve">vogelselectie bevat het stikstofmodel 60.127 soort–plot–jaarrijen uit 674</w:t>
      </w:r>
      <w:r>
        <w:t xml:space="preserve"> </w:t>
      </w:r>
      <w:r>
        <w:t xml:space="preserve">plotjaren in 51 plots, voor 155 soorten en 2005–2023. Het model corrigeert</w:t>
      </w:r>
      <w:r>
        <w:t xml:space="preserve"> </w:t>
      </w:r>
      <w:r>
        <w:t xml:space="preserve">tevens voor tijd, oppervlakte, bron, teller/tellerteam, geregistreerde</w:t>
      </w:r>
      <w:r>
        <w:t xml:space="preserve"> </w:t>
      </w:r>
      <w:r>
        <w:t xml:space="preserve">ervaring, bezoekinspanning, ongunstige bezoeksomstandigheden en vier</w:t>
      </w:r>
      <w:r>
        <w:t xml:space="preserve"> </w:t>
      </w:r>
      <w:r>
        <w:t xml:space="preserve">weermaten. Het verschil tussen plots is een factor 1,157 per</w:t>
      </w:r>
      <w:r>
        <w:t xml:space="preserve"> </w:t>
      </w:r>
      <w:r>
        <w:t xml:space="preserve">standaardafwijking hogere gemiddelde depositie; het verband tussen verandering</w:t>
      </w:r>
      <w:r>
        <w:t xml:space="preserve"> </w:t>
      </w:r>
      <w:r>
        <w:t xml:space="preserve">in depositie en verandering in vogelaantallen binnen dezelfde plot is 1,002,</w:t>
      </w:r>
      <w:r>
        <w:t xml:space="preserve"> </w:t>
      </w:r>
      <w:r>
        <w:t xml:space="preserve">met p = 0,924. Slechts één van vijf ruimtelijke validatieblokken is numeriek</w:t>
      </w:r>
      <w:r>
        <w:t xml:space="preserve"> </w:t>
      </w:r>
      <w:r>
        <w:t xml:space="preserve">geldig en dat voorspelt slechter; de tijdstoets op 2019–2023 valt numeriek uit.</w:t>
      </w:r>
      <w:r>
        <w:t xml:space="preserve"> </w:t>
      </w:r>
      <w:r>
        <w:t xml:space="preserve">De bron blijft geschikt als mogelijke verklarende factor, maar levert in deze</w:t>
      </w:r>
      <w:r>
        <w:t xml:space="preserve"> </w:t>
      </w:r>
      <w:r>
        <w:t xml:space="preserve">modelopzet geen bestendig voorspelmodel van vogelverandering en gaat niet door</w:t>
      </w:r>
      <w:r>
        <w:t xml:space="preserve"> </w:t>
      </w:r>
      <w:r>
        <w:t xml:space="preserve">naar power. Een samenhang bewijst bovendien niet dat stikstof de enige oorzaak</w:t>
      </w:r>
      <w:r>
        <w:t xml:space="preserve"> </w:t>
      </w:r>
      <w:r>
        <w:t xml:space="preserve">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De bron bevat vijf kaartmomenten: 1996, 2010, 2015, 2017</w:t>
      </w:r>
      <w:r>
        <w:t xml:space="preserve"> </w:t>
      </w:r>
      <w:r>
        <w:t xml:space="preserve">en 2022. De codes van 1996 zijn niet inhoudelijk aan de latere klassen</w:t>
      </w:r>
      <w:r>
        <w:t xml:space="preserve"> </w:t>
      </w:r>
      <w:r>
        <w:t xml:space="preserve">geharmoniseerd en zijn daarom niet stilzwijgend in het vogelmodel opgenomen.</w:t>
      </w:r>
      <w:r>
        <w:t xml:space="preserve"> </w:t>
      </w:r>
      <w:r>
        <w:t xml:space="preserve">Na toepassing van de Natura 2000-scope en de geldige vogelselectie gebruiken</w:t>
      </w:r>
      <w:r>
        <w:t xml:space="preserve"> </w:t>
      </w:r>
      <w:r>
        <w:t xml:space="preserve">de modellen voor open natuurlijk terrein, bos en water 15.039</w:t>
      </w:r>
      <w:r>
        <w:t xml:space="preserve"> </w:t>
      </w:r>
      <w:r>
        <w:t xml:space="preserve">soort–plot–jaarrijen uit 168 plotjaren in 49 plots, voor 155 soorten en de vier</w:t>
      </w:r>
      <w:r>
        <w:t xml:space="preserve"> </w:t>
      </w:r>
      <w:r>
        <w:t xml:space="preserve">kaartjaren 2010–2022. In de vijf analyses waarin landgebruik voorkomt zijn van</w:t>
      </w:r>
      <w:r>
        <w:t xml:space="preserve"> </w:t>
      </w:r>
      <w:r>
        <w:t xml:space="preserve">de tien volledige basis- en omgevingsmodellen twee geldig; geen modelpaar is</w:t>
      </w:r>
      <w:r>
        <w:t xml:space="preserve"> </w:t>
      </w:r>
      <w:r>
        <w:t xml:space="preserve">aan beide zijden geldig. Van dertig validaties zijn er elf geldig en negentien</w:t>
      </w:r>
      <w:r>
        <w:t xml:space="preserve"> </w:t>
      </w:r>
      <w:r>
        <w:t xml:space="preserve">ongeldig. Bos verbetert de logscore in vier van vier geldige ruimtelijke</w:t>
      </w:r>
      <w:r>
        <w:t xml:space="preserve"> </w:t>
      </w:r>
      <w:r>
        <w:t xml:space="preserve">blokken en water in</w:t>
      </w:r>
      <w:r>
        <w:t xml:space="preserve"> </w:t>
      </w:r>
      <w:r>
        <w:t xml:space="preserve">twee van twee, maar geen van de vijf tijdstoetsen slaagt. De bron kan dus</w:t>
      </w:r>
      <w:r>
        <w:t xml:space="preserve"> </w:t>
      </w:r>
      <w:r>
        <w:t xml:space="preserve">ruimtelijke verschillen tussen plots helpen beschrijven, maar levert in deze</w:t>
      </w:r>
      <w:r>
        <w:t xml:space="preserve"> </w:t>
      </w:r>
      <w:r>
        <w:t xml:space="preserve">modelopzet geen bestendig voorspelmodel van vogelverandering en gaat niet door</w:t>
      </w:r>
      <w:r>
        <w:t xml:space="preserve"> </w:t>
      </w:r>
      <w:r>
        <w:t xml:space="preserve">naar power. De kaartmomenten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4"/>
      </w:pPr>
      <w:bookmarkStart w:id="54" w:name="_db7eb24e1743be4ba71117664c27cd530984820"/>
      <w:r>
        <w:t xml:space="preserve">1.8.6. Jaarlijks luchtfotobeeld</w:t>
      </w:r>
      <w:bookmarkEnd w:id="54"/>
    </w:p>
    <w:p>
      <w:pPr>
        <w:pStyle w:val="FirstParagraph"/>
      </w:pPr>
      <w:r>
        <w:rPr>
          <w:b/>
          <w:bCs/>
        </w:rPr>
        <w:t xml:space="preserve">Eigenaar.</w:t>
      </w:r>
      <w:r>
        <w:t xml:space="preserve"> </w:t>
      </w:r>
      <w:r>
        <w:t xml:space="preserve">Beeldmateriaal Nederland, ontsloten via PDOK en het landelijke</w:t>
      </w:r>
      <w:r>
        <w:t xml:space="preserve"> </w:t>
      </w:r>
      <w:r>
        <w:t xml:space="preserve">downloadportaal.</w:t>
      </w:r>
    </w:p>
    <w:p>
      <w:pPr>
        <w:pStyle w:val="BodyText"/>
      </w:pPr>
      <w:r>
        <w:rPr>
          <w:b/>
          <w:bCs/>
        </w:rPr>
        <w:t xml:space="preserve">Omvang en periode.</w:t>
      </w:r>
      <w:r>
        <w:t xml:space="preserve"> </w:t>
      </w:r>
      <w:r>
        <w:t xml:space="preserve">Kandidaatbron, niet in de levende database opgenomen.</w:t>
      </w:r>
      <w:r>
        <w:t xml:space="preserve"> </w:t>
      </w:r>
      <w:r>
        <w:t xml:space="preserve">De uitgevoerde proef gebruikt tien officiële WMS-beelden: RGB en CIR voor</w:t>
      </w:r>
      <w:r>
        <w:t xml:space="preserve"> </w:t>
      </w:r>
      <w:r>
        <w:t xml:space="preserve">2016, 2020, 2022, 2023 en 2024. Elk beeld is op het gedeelde AHN-rooster</w:t>
      </w:r>
      <w:r>
        <w:t xml:space="preserve"> </w:t>
      </w:r>
      <w:r>
        <w:t xml:space="preserve">samengesteld tot 3.440 bij 3.018 pixels van 2 meter. De brongeometrie bevat 55</w:t>
      </w:r>
      <w:r>
        <w:t xml:space="preserve"> </w:t>
      </w:r>
      <w:r>
        <w:t xml:space="preserve">vogelplots; na uitsluiting van M66 en M91 zijn 53 Natura 2000-plots</w:t>
      </w:r>
      <w:r>
        <w:t xml:space="preserve"> </w:t>
      </w:r>
      <w:r>
        <w:t xml:space="preserve">geanalyseerd. De officiële 25-centimeterlagen bevatten geen RGB/CIR-paar voor</w:t>
      </w:r>
      <w:r>
        <w:t xml:space="preserve"> </w:t>
      </w:r>
      <w:r>
        <w:t xml:space="preserve">2021.</w:t>
      </w:r>
    </w:p>
    <w:p>
      <w:pPr>
        <w:pStyle w:val="BodyText"/>
      </w:pPr>
      <w:r>
        <w:rPr>
          <w:b/>
          <w:bCs/>
        </w:rPr>
        <w:t xml:space="preserve">Gebruik en grens.</w:t>
      </w:r>
      <w:r>
        <w:t xml:space="preserve"> </w:t>
      </w:r>
      <w:r>
        <w:t xml:space="preserve">De beperkte classificatieproef is uitgevoerd. De ruwe</w:t>
      </w:r>
      <w:r>
        <w:t xml:space="preserve"> </w:t>
      </w:r>
      <w:r>
        <w:t xml:space="preserve">RGB/CIR-kenmerken behalen bij overdracht van 2020 naar 2023 macro-F1 0,469 en</w:t>
      </w:r>
      <w:r>
        <w:t xml:space="preserve"> </w:t>
      </w:r>
      <w:r>
        <w:t xml:space="preserve">in omgekeerde richting 0,420; beide blijven onder de vooraf gekozen grens van</w:t>
      </w:r>
      <w:r>
        <w:t xml:space="preserve"> </w:t>
      </w:r>
      <w:r>
        <w:t xml:space="preserve">0,60. Radiometrische normalisatie en beeldtextuur verbeteren dit niet. De</w:t>
      </w:r>
      <w:r>
        <w:t xml:space="preserve"> </w:t>
      </w:r>
      <w:r>
        <w:t xml:space="preserve">voorspelde houtige bedekking correleert in 24 afzonderlijk begrensde plots in</w:t>
      </w:r>
      <w:r>
        <w:t xml:space="preserve"> </w:t>
      </w:r>
      <w:r>
        <w:t xml:space="preserve">2022 wel met de onafhankelijke landbedekking, 0,743 tot 0,869, maar de</w:t>
      </w:r>
      <w:r>
        <w:t xml:space="preserve"> </w:t>
      </w:r>
      <w:r>
        <w:t xml:space="preserve">gemiddelde absolute fout blijft 10,2 tot 10,6 procentpunt. De op 19 oktober</w:t>
      </w:r>
      <w:r>
        <w:t xml:space="preserve"> </w:t>
      </w:r>
      <w:r>
        <w:t xml:space="preserve">2026 ontvangen classificatierasters geven voor 2001 en 2022 wel</w:t>
      </w:r>
      <w:r>
        <w:t xml:space="preserve"> </w:t>
      </w:r>
      <w:r>
        <w:t xml:space="preserve">pixelreferenties, maar de oorspronkelijke trainingspolygonen en 125</w:t>
      </w:r>
      <w:r>
        <w:t xml:space="preserve"> </w:t>
      </w:r>
      <w:r>
        <w:t xml:space="preserve">validatiepunten ontbreken. Het raster van 2022 is bovendien uit beeld van dat</w:t>
      </w:r>
      <w:r>
        <w:t xml:space="preserve"> </w:t>
      </w:r>
      <w:r>
        <w:t xml:space="preserve">jaar afgeleid en vormt geen onafhankelijke validatie van hetzelfde beeld. De</w:t>
      </w:r>
      <w:r>
        <w:t xml:space="preserve"> </w:t>
      </w:r>
      <w:r>
        <w:t xml:space="preserve">kandidaatbron wordt daarom niet analyseklaar verklaard en niet tot een</w:t>
      </w:r>
      <w:r>
        <w:t xml:space="preserve"> </w:t>
      </w:r>
      <w:r>
        <w:t xml:space="preserve">jaarlijkse reeks uitgebreid. Een vervolg vereist onafhankelijke referenties</w:t>
      </w:r>
      <w:r>
        <w:t xml:space="preserve"> </w:t>
      </w:r>
      <w:r>
        <w:t xml:space="preserve">voor meer beeldjaren. Luchtfoto's meten geen vegetatiehoogte, maken AHN1 niet</w:t>
      </w:r>
      <w:r>
        <w:t xml:space="preserve"> </w:t>
      </w:r>
      <w:r>
        <w:t xml:space="preserve">vergelijkbaar en mogen niet rechtstreeks als causale verklaring van</w:t>
      </w:r>
      <w:r>
        <w:t xml:space="preserve"> </w:t>
      </w:r>
      <w:r>
        <w:t xml:space="preserve">vogelverandering worden gebruikt.</w:t>
      </w:r>
    </w:p>
    <w:p>
      <w:pPr>
        <w:pStyle w:val="BodyText"/>
      </w:pPr>
      <w:r>
        <w:rPr>
          <w:b/>
          <w:bCs/>
        </w:rPr>
        <w:t xml:space="preserve">Historische Dunea-reeks, bronbericht 26 oktober 2026.</w:t>
      </w:r>
      <w:r>
        <w:t xml:space="preserve"> </w:t>
      </w:r>
      <w:r>
        <w:t xml:space="preserve">Harrie Van der</w:t>
      </w:r>
      <w:r>
        <w:t xml:space="preserve"> </w:t>
      </w:r>
      <w:r>
        <w:t xml:space="preserve">Hagen meldt dat Dunea gebiedsdekkende luchtfoto's van heel Meijendel beheert.</w:t>
      </w:r>
      <w:r>
        <w:t xml:space="preserve"> </w:t>
      </w:r>
      <w:r>
        <w:t xml:space="preserve">Hij noemt zwart-witopnamen uit 1938, 1944, 1962 en 1966, meestal op ongeveer</w:t>
      </w:r>
      <w:r>
        <w:t xml:space="preserve"> </w:t>
      </w:r>
      <w:r>
        <w:t xml:space="preserve">1:18.000, en kleureninfraroodopnamen uit 1975, 1980, 1985, 1990, 1995, 2001,</w:t>
      </w:r>
      <w:r>
        <w:t xml:space="preserve"> </w:t>
      </w:r>
      <w:r>
        <w:t xml:space="preserve">2009, 2016 en 2023, op ongeveer 1:2.500. In één doorgestuurde versie staat</w:t>
      </w:r>
      <w:r>
        <w:t xml:space="preserve"> </w:t>
      </w:r>
      <w:r>
        <w:rPr>
          <w:rStyle w:val="VerbatimChar"/>
        </w:rPr>
        <w:t xml:space="preserve">1895</w:t>
      </w:r>
      <w:r>
        <w:t xml:space="preserve">; dit is in Tons weergave gecorrigeerd naar het chronologisch passende</w:t>
      </w:r>
      <w:r>
        <w:t xml:space="preserve"> </w:t>
      </w:r>
      <w:r>
        <w:t xml:space="preserve">1985. Harrie is niet meer zeker van de laatste twee jaren. De exacte jaren,</w:t>
      </w:r>
      <w:r>
        <w:t xml:space="preserve"> </w:t>
      </w:r>
      <w:r>
        <w:t xml:space="preserve">vluchten, dekking, bestanden en schaal moeten daarom eerst door Dunea worden</w:t>
      </w:r>
      <w:r>
        <w:t xml:space="preserve"> </w:t>
      </w:r>
      <w:r>
        <w:t xml:space="preserve">bevestigd. De bestanden zijn niet ontvangen en blijven kandidaatbron.</w:t>
      </w:r>
    </w:p>
    <w:p>
      <w:pPr>
        <w:pStyle w:val="BodyText"/>
      </w:pPr>
      <w:r>
        <w:t xml:space="preserve">Volgens Harrie bestaat voor de meeste jaren een interpretatie op basis van het</w:t>
      </w:r>
      <w:r>
        <w:t xml:space="preserve"> </w:t>
      </w:r>
      <w:r>
        <w:t xml:space="preserve">proefschrift van Dan Assendorp. Die indeling was niet passend voor de gebruikte</w:t>
      </w:r>
      <w:r>
        <w:t xml:space="preserve"> </w:t>
      </w:r>
      <w:r>
        <w:t xml:space="preserve">broedvogelgroepen en is daarom voor het onderzoek van Schmidt-Tauscher, Häger</w:t>
      </w:r>
      <w:r>
        <w:t xml:space="preserve"> </w:t>
      </w:r>
      <w:r>
        <w:t xml:space="preserve">en Van der Hagen opnieuw geïnterpreteerd. Voor zijn eigen proefschrift gebruikte</w:t>
      </w:r>
      <w:r>
        <w:t xml:space="preserve"> </w:t>
      </w:r>
      <w:r>
        <w:t xml:space="preserve">Harrie 1975, 1990, 2001 en 2009. De oudere zwart-witbeelden zijn niet zonder</w:t>
      </w:r>
      <w:r>
        <w:t xml:space="preserve"> </w:t>
      </w:r>
      <w:r>
        <w:t xml:space="preserve">meer vergelijkbaar met de fijnschaliger kleureninfraroodreeks; vooral het beeld</w:t>
      </w:r>
      <w:r>
        <w:t xml:space="preserve"> </w:t>
      </w:r>
      <w:r>
        <w:t xml:space="preserve">uit 1938 bevat door de lage zonnestand schaduwen die op bos kunnen lijken.</w:t>
      </w:r>
    </w:p>
    <w:p>
      <w:pPr>
        <w:pStyle w:val="BodyText"/>
      </w:pPr>
      <w:r>
        <w:t xml:space="preserve">Dunea is bronhouder. Harrie heeft geen bevoegdheid de bestanden beschikbaar te</w:t>
      </w:r>
      <w:r>
        <w:t xml:space="preserve"> </w:t>
      </w:r>
      <w:r>
        <w:t xml:space="preserve">stellen en verwijst voor een besluit naar Maarten Werink. Het idee voor een</w:t>
      </w:r>
      <w:r>
        <w:t xml:space="preserve"> </w:t>
      </w:r>
      <w:r>
        <w:t xml:space="preserve">gezamenlijke proef via een stage is eerder alleen terloops door Harrie aan Ton</w:t>
      </w:r>
      <w:r>
        <w:t xml:space="preserve"> </w:t>
      </w:r>
      <w:r>
        <w:t xml:space="preserve">genoemd; het was geen voorstel of toezegging van Maarten. Maarten wordt daarom</w:t>
      </w:r>
      <w:r>
        <w:t xml:space="preserve"> </w:t>
      </w:r>
      <w:r>
        <w:t xml:space="preserve">zonder veronderstelde voorkennis rechtstreeks gevraagd welke bestaande</w:t>
      </w:r>
      <w:r>
        <w:t xml:space="preserve"> </w:t>
      </w:r>
      <w:r>
        <w:t xml:space="preserve">fotobeelden, interpretaties en bronmetadata Dunea voor het onderzoek</w:t>
      </w:r>
      <w:r>
        <w:t xml:space="preserve"> </w:t>
      </w:r>
      <w:r>
        <w:t xml:space="preserve">beschikbaar kan stellen en onder welke voorwaarden.</w:t>
      </w:r>
    </w:p>
    <w:p>
      <w:pPr>
        <w:pStyle w:val="BodyText"/>
      </w:pPr>
      <w:r>
        <w:t xml:space="preserve">De reeks kan de twee kaartmomenten 2001 en 2022 aanvullen, maar levert niet</w:t>
      </w:r>
      <w:r>
        <w:t xml:space="preserve"> </w:t>
      </w:r>
      <w:r>
        <w:t xml:space="preserve">automatisch een voorspellend model. Harrie wijst erop dat ontwikkeling in het</w:t>
      </w:r>
      <w:r>
        <w:t xml:space="preserve"> </w:t>
      </w:r>
      <w:r>
        <w:t xml:space="preserve">droge duin sterk kan reageren op afzonderlijke gebeurtenissen en menselijk</w:t>
      </w:r>
      <w:r>
        <w:t xml:space="preserve"> </w:t>
      </w:r>
      <w:r>
        <w:t xml:space="preserve">ingrijpen. Hij noemt onder meer het wegvallen van konijnen na myxomatose, de</w:t>
      </w:r>
      <w:r>
        <w:t xml:space="preserve"> </w:t>
      </w:r>
      <w:r>
        <w:t xml:space="preserve">aanplant van bomen en struiken en van helm tot 1990, begrazing vanaf 1990 en het</w:t>
      </w:r>
      <w:r>
        <w:t xml:space="preserve"> </w:t>
      </w:r>
      <w:r>
        <w:t xml:space="preserve">latere opnieuw openmaken van het duin. Voor voorspelling moeten zulke</w:t>
      </w:r>
      <w:r>
        <w:t xml:space="preserve"> </w:t>
      </w:r>
      <w:r>
        <w:t xml:space="preserve">gebeurtenissen en ingrepen, voor zover zij per plaats en jaar kunnen worden</w:t>
      </w:r>
      <w:r>
        <w:t xml:space="preserve"> </w:t>
      </w:r>
      <w:r>
        <w:t xml:space="preserve">onderbouwd, naast vegetatie, PQ en vogels worden opgenomen. De historische</w:t>
      </w:r>
      <w:r>
        <w:t xml:space="preserve"> </w:t>
      </w:r>
      <w:r>
        <w:t xml:space="preserve">fotoreeks kan dus vooral vaststellen</w:t>
      </w:r>
      <w:r>
        <w:t xml:space="preserve"> </w:t>
      </w:r>
      <w:r>
        <w:rPr>
          <w:i/>
          <w:iCs/>
        </w:rPr>
        <w:t xml:space="preserve">wanneer en waar</w:t>
      </w:r>
      <w:r>
        <w:t xml:space="preserve"> </w:t>
      </w:r>
      <w:r>
        <w:t xml:space="preserve">structuur veranderde;</w:t>
      </w:r>
      <w:r>
        <w:t xml:space="preserve"> </w:t>
      </w:r>
      <w:r>
        <w:t xml:space="preserve">zij verklaart niet zelfstandig waardoor dat gebeurde.</w:t>
      </w:r>
    </w:p>
    <w:p>
      <w:pPr>
        <w:pStyle w:val="Heading3"/>
      </w:pPr>
      <w:bookmarkStart w:id="55" w:name="_f1f9cc3f4e7e57e7e99ffc1d85334cce67c3650"/>
      <w:r>
        <w:t xml:space="preserve">1.9. Werkzaamheden en beheermaatregelen</w:t>
      </w:r>
      <w:bookmarkEnd w:id="55"/>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6">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7" w:name="_692b0a71312b2a939db271d079fb23757bfc15a"/>
      <w:r>
        <w:t xml:space="preserve">2. Bronnen in MySQL-database</w:t>
      </w:r>
      <w:r>
        <w:t xml:space="preserve"> </w:t>
      </w:r>
      <w:r>
        <w:rPr>
          <w:rStyle w:val="VerbatimChar"/>
        </w:rPr>
        <w:t xml:space="preserve">Meijendel_bronnen</w:t>
      </w:r>
      <w:bookmarkEnd w:id="57"/>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8" w:name="_7ae3f60e8dd3c65bdde3d5f608a55d96632a876"/>
      <w:r>
        <w:t xml:space="preserve">2.1. Duinvalleivegetatie</w:t>
      </w:r>
      <w:bookmarkEnd w:id="58"/>
    </w:p>
    <w:p>
      <w:pPr>
        <w:pStyle w:val="FirstParagraph"/>
      </w:pPr>
      <w:r>
        <w:rPr>
          <w:b/>
          <w:bCs/>
        </w:rPr>
        <w:t xml:space="preserve">Beheerder.</w:t>
      </w:r>
      <w:r>
        <w:t xml:space="preserve"> </w:t>
      </w:r>
      <w:r>
        <w:t xml:space="preserve">Openbare onderzoeksdataset,</w:t>
      </w:r>
      <w:r>
        <w:t xml:space="preserve"> </w:t>
      </w:r>
      <w:hyperlink r:id="rId59">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60" w:name="_6cd5cd3671e295c222d5bd4a47757f0a76f0a19"/>
      <w:r>
        <w:t xml:space="preserve">2.2. Vogelstand 1924</w:t>
      </w:r>
      <w:bookmarkEnd w:id="60"/>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1" w:name="_b3fdc40884db1bbf06132e666e117a731445140"/>
      <w:r>
        <w:t xml:space="preserve">2.3. Jachtspinnen</w:t>
      </w:r>
      <w:bookmarkEnd w:id="61"/>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2" w:name="_7c2c13aacf0ea926ee35ca97ab69391a3624a6f"/>
      <w:r>
        <w:t xml:space="preserve">2.4. Literatuuroverzicht</w:t>
      </w:r>
      <w:bookmarkEnd w:id="62"/>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3" w:name="_4a1f2475629c7656191227e4ca81566bef187e2"/>
      <w:r>
        <w:t xml:space="preserve">2.5. Bijenmonitoring in vier beheergebieden</w:t>
      </w:r>
      <w:bookmarkEnd w:id="63"/>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4" w:name="_bef92f685785a24a45e5325384551ba55c57cc1"/>
      <w:r>
        <w:t xml:space="preserve">2.6. Aquatische macrofauna 1974–1975</w:t>
      </w:r>
      <w:bookmarkEnd w:id="64"/>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5" w:name="_2b62b82ef201b4c91783bce15da2b1d0258c34c"/>
      <w:r>
        <w:t xml:space="preserve">3. Geïdentificeerde externe kandidaatbronnen</w:t>
      </w:r>
      <w:bookmarkEnd w:id="65"/>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6" w:name="_d53aceb4d9e4863cdbb6367737be5e291cdac65"/>
      <w:r>
        <w:t xml:space="preserve">Kandidaten met de grootste verwachte aanvulling</w:t>
      </w:r>
      <w:bookmarkEnd w:id="66"/>
    </w:p>
    <w:p>
      <w:pPr>
        <w:pStyle w:val="Heading4"/>
      </w:pPr>
      <w:bookmarkStart w:id="67" w:name="_bddce02f5cb2b082bf32fac381c8bc0ea5284d3"/>
      <w:r>
        <w:t xml:space="preserve">3.1. Historische en actuele ringgegevens</w:t>
      </w:r>
      <w:bookmarkEnd w:id="67"/>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8" w:name="_8071b7ae643e6cecadbf8a281c84bb90b511e63"/>
      <w:r>
        <w:t xml:space="preserve">3.2. Erosiepinnen in een stuifkuilcomplex</w:t>
      </w:r>
      <w:bookmarkEnd w:id="68"/>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9" w:name="_1b05a95cacb83608c9b762adcf4298810ed86f9"/>
      <w:r>
        <w:t xml:space="preserve">3.3. Langjarige droge-duinvegetatieplots</w:t>
      </w:r>
      <w:bookmarkEnd w:id="69"/>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1" w:name="_4578481a165cef1470f100d42a5e836ac7456f8"/>
      <w:r>
        <w:t xml:space="preserve">3.4.</w:t>
      </w:r>
      <w:r>
        <w:t xml:space="preserve"> </w:t>
      </w:r>
      <w:hyperlink r:id="rId70">
        <w:r>
          <w:rPr>
            <w:rStyle w:val="Hyperlink"/>
          </w:rPr>
          <w:t xml:space="preserve">Neuropteren van Meijendel</w:t>
        </w:r>
      </w:hyperlink>
      <w:bookmarkEnd w:id="71"/>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3" w:name="_642992b46f3d655730973d9bd57c00f9c7aad9f"/>
      <w:r>
        <w:t xml:space="preserve">3.5.</w:t>
      </w:r>
      <w:r>
        <w:t xml:space="preserve"> </w:t>
      </w:r>
      <w:hyperlink r:id="rId72">
        <w:r>
          <w:rPr>
            <w:rStyle w:val="Hyperlink"/>
          </w:rPr>
          <w:t xml:space="preserve">Zweefvliegen van Meijendel</w:t>
        </w:r>
      </w:hyperlink>
      <w:bookmarkEnd w:id="73"/>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4" w:name="_80b82bf48485caf594896b8d6bc490be5f328ee"/>
      <w:r>
        <w:t xml:space="preserve">3.6. TERRA-Dunes plant- en bodemmicrobiomen</w:t>
      </w:r>
      <w:bookmarkEnd w:id="74"/>
    </w:p>
    <w:p>
      <w:pPr>
        <w:pStyle w:val="FirstParagraph"/>
      </w:pPr>
      <w:r>
        <w:rPr>
          <w:b/>
          <w:bCs/>
        </w:rPr>
        <w:t xml:space="preserve">Eigenaar of uitgever.</w:t>
      </w:r>
      <w:r>
        <w:t xml:space="preserve"> </w:t>
      </w:r>
      <w:r>
        <w:t xml:space="preserve">Onderzoeksteam TERRA-Dunes,</w:t>
      </w:r>
      <w:r>
        <w:t xml:space="preserve"> </w:t>
      </w:r>
      <w:hyperlink r:id="rId75">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6" w:name="_4b2db10b2340db42e20505c45425c0b84f14c27"/>
      <w:r>
        <w:t xml:space="preserve">3.7. Rups- en bodemmicrobiomen</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8" w:name="_442e94e4e2997aa133d10bf618574e2528e759d"/>
      <w:r>
        <w:t xml:space="preserve">3.8. Schimmels bij kruipwilg</w:t>
      </w:r>
      <w:bookmarkEnd w:id="78"/>
    </w:p>
    <w:p>
      <w:pPr>
        <w:pStyle w:val="FirstParagraph"/>
      </w:pPr>
      <w:r>
        <w:rPr>
          <w:b/>
          <w:bCs/>
        </w:rPr>
        <w:t xml:space="preserve">Eigenaar of uitgever.</w:t>
      </w:r>
      <w:r>
        <w:t xml:space="preserve"> </w:t>
      </w:r>
      <w:r>
        <w:t xml:space="preserve">Onderzoeksteam,</w:t>
      </w:r>
      <w:r>
        <w:t xml:space="preserve"> </w:t>
      </w:r>
      <w:hyperlink r:id="rId79">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80" w:name="_36e8e197a59cff4a0251b791dc5fc6bc0e135bf"/>
      <w:r>
        <w:t xml:space="preserve">3.9. Plantengroei, bodemvocht en weer</w:t>
      </w:r>
      <w:bookmarkEnd w:id="80"/>
    </w:p>
    <w:p>
      <w:pPr>
        <w:pStyle w:val="FirstParagraph"/>
      </w:pPr>
      <w:r>
        <w:rPr>
          <w:b/>
          <w:bCs/>
        </w:rPr>
        <w:t xml:space="preserve">Eigenaar of uitgever.</w:t>
      </w:r>
      <w:r>
        <w:t xml:space="preserve"> </w:t>
      </w:r>
      <w:r>
        <w:t xml:space="preserve">Wageningen University &amp; Research,</w:t>
      </w:r>
      <w:r>
        <w:t xml:space="preserve"> </w:t>
      </w:r>
      <w:hyperlink r:id="rId81">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2" w:name="_49ed5beca1c3c65272a43e85c3687f3c3d41d64"/>
      <w:r>
        <w:t xml:space="preserve">3.10. Genetische datasets amfibieën</w:t>
      </w:r>
      <w:bookmarkEnd w:id="82"/>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3" w:name="_136d668cd3b301eba92f27584d1a2d49d57a73c"/>
      <w:r>
        <w:t xml:space="preserve">3.11. Alleen context of nog een onderzoeksaanwijzing</w:t>
      </w:r>
      <w:bookmarkEnd w:id="83"/>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onderzoeksrasters zijn nog niet als openbare dataset gevonden en</w:t>
      </w:r>
      <w:r>
        <w:t xml:space="preserve"> </w:t>
      </w:r>
      <w:r>
        <w:t xml:space="preserve">blijven kandidaatbron. De landelijke DTM- en DSM-bronnen uit de</w:t>
      </w:r>
      <w:r>
        <w:t xml:space="preserve"> </w:t>
      </w:r>
      <w:hyperlink r:id="rId84">
        <w:r>
          <w:rPr>
            <w:rStyle w:val="Hyperlink"/>
          </w:rPr>
          <w:t xml:space="preserve">AHN-dataroom</w:t>
        </w:r>
      </w:hyperlink>
      <w:r>
        <w:t xml:space="preserve"> </w:t>
      </w:r>
      <w:r>
        <w:t xml:space="preserve">zijn inmiddels wel gebruikt om de</w:t>
      </w:r>
      <w:r>
        <w:t xml:space="preserve"> </w:t>
      </w:r>
      <w:r>
        <w:t xml:space="preserve">onder 1.8.2 beschreven proxy voor 2014 en 2020 af te leiden en lokaal te</w:t>
      </w:r>
      <w:r>
        <w:t xml:space="preserve"> </w:t>
      </w:r>
      <w:r>
        <w:t xml:space="preserve">controleren. De onderzoeksrasters en de AHN-proxy zijn dus niet dezelfde bron.</w:t>
      </w:r>
    </w:p>
    <w:p>
      <w:pPr>
        <w:pStyle w:val="BodyText"/>
      </w:pPr>
      <w:hyperlink r:id="rId85">
        <w:r>
          <w:rPr>
            <w:rStyle w:val="Hyperlink"/>
            <w:b/>
            <w:bCs/>
          </w:rPr>
          <w:t xml:space="preserve">Landbedekking in vogelplots</w:t>
        </w:r>
      </w:hyperlink>
      <w:r>
        <w:rPr>
          <w:b/>
          <w:bCs/>
        </w:rPr>
        <w:t xml:space="preserve">:</w:t>
      </w:r>
      <w:r>
        <w:t xml:space="preserve"> </w:t>
      </w:r>
      <w:r>
        <w:t xml:space="preserve">de openbare studie van Schmidt-Tauscher, Häger en Van der Hagen uit 2025</w:t>
      </w:r>
      <w:r>
        <w:t xml:space="preserve"> </w:t>
      </w:r>
      <w:r>
        <w:t xml:space="preserve">behandelt 25 BMP-plots met samen 925 hectare. Het openbare supplement bevat de</w:t>
      </w:r>
      <w:r>
        <w:t xml:space="preserve"> </w:t>
      </w:r>
      <w:r>
        <w:t xml:space="preserve">volledige tabel met de oppervlakte van zeven landbedekkingsklassen per plot in</w:t>
      </w:r>
      <w:r>
        <w:t xml:space="preserve"> </w:t>
      </w:r>
      <w:r>
        <w:t xml:space="preserve">2001 en 2022: struweel, bos, boomgroepen, lage vegetatie, riet, kaal zand en</w:t>
      </w:r>
      <w:r>
        <w:t xml:space="preserve"> </w:t>
      </w:r>
      <w:r>
        <w:t xml:space="preserve">water. De classificatie is afgeleid uit luchtfoto's, teruggebracht tot pixels</w:t>
      </w:r>
      <w:r>
        <w:t xml:space="preserve"> </w:t>
      </w:r>
      <w:r>
        <w:t xml:space="preserve">van 5 bij 5 meter en had een totale nauwkeurigheid van 81% in 2001 en 82% in</w:t>
      </w:r>
      <w:r>
        <w:t xml:space="preserve"> </w:t>
      </w:r>
      <w:r>
        <w:t xml:space="preserve">2022. De bron-Excel is op 11 oktober 2026 reproduceerbaar in de lokale</w:t>
      </w:r>
      <w:r>
        <w:t xml:space="preserve"> </w:t>
      </w:r>
      <w:r>
        <w:t xml:space="preserve">broedvogel–vegetatieanalyse gebruikt en met SHA256 in het uitvoermanifest</w:t>
      </w:r>
      <w:r>
        <w:t xml:space="preserve"> </w:t>
      </w:r>
      <w:r>
        <w:t xml:space="preserve">vastgelegd; zij is niet als nieuwe brontabel in de levende database</w:t>
      </w:r>
      <w:r>
        <w:t xml:space="preserve"> </w:t>
      </w:r>
      <w:r>
        <w:t xml:space="preserve">geïmporteerd. M17 heeft in de actuele vogelmatrix geen territoriumplotjaar en</w:t>
      </w:r>
      <w:r>
        <w:t xml:space="preserve"> </w:t>
      </w:r>
      <w:r>
        <w:t xml:space="preserve">valt uit de modellen. De overige vogelgroepen gebruiken 22–24 plots. Bij M71</w:t>
      </w:r>
      <w:r>
        <w:t xml:space="preserve"> </w:t>
      </w:r>
      <w:r>
        <w:t xml:space="preserve">is in beide jaren 47,89 van 48,46 hectare geclassificeerd; de ontbrekende 0,57</w:t>
      </w:r>
      <w:r>
        <w:t xml:space="preserve"> </w:t>
      </w:r>
      <w:r>
        <w:t xml:space="preserve">hectare blijft zichtbaar en de klasseaandelen zijn alleen over het</w:t>
      </w:r>
      <w:r>
        <w:t xml:space="preserve"> </w:t>
      </w:r>
      <w:r>
        <w:t xml:space="preserve">geclassificeerde deel berekend.</w:t>
      </w:r>
    </w:p>
    <w:p>
      <w:pPr>
        <w:pStyle w:val="BodyText"/>
      </w:pPr>
      <w:r>
        <w:t xml:space="preserve">De plot-tabel voegt een ecologisch specifiekere verklarende laag toe dan de</w:t>
      </w:r>
      <w:r>
        <w:t xml:space="preserve"> </w:t>
      </w:r>
      <w:r>
        <w:t xml:space="preserve">CBS-landgebruikgegevens voor 55 plots in 1996, 2010, 2015, 2017 en 2022.</w:t>
      </w:r>
      <w:r>
        <w:t xml:space="preserve"> </w:t>
      </w:r>
      <w:r>
        <w:t xml:space="preserve">Wateroppervlak leverde in alle vijf ruimtelijke validatieblokken een betere</w:t>
      </w:r>
      <w:r>
        <w:t xml:space="preserve"> </w:t>
      </w:r>
      <w:r>
        <w:t xml:space="preserve">logscore voor watervogels. Voor de overige vogelgroepen waren de scores</w:t>
      </w:r>
      <w:r>
        <w:t xml:space="preserve"> </w:t>
      </w:r>
      <w:r>
        <w:t xml:space="preserve">gemengd of te veel modellen numeriek ongeldig; van de 36</w:t>
      </w:r>
      <w:r>
        <w:t xml:space="preserve"> </w:t>
      </w:r>
      <w:r>
        <w:t xml:space="preserve">landbedekkingsvalidaties slaagden er 18.</w:t>
      </w:r>
    </w:p>
    <w:p>
      <w:pPr>
        <w:pStyle w:val="BodyText"/>
      </w:pPr>
      <w:r>
        <w:t xml:space="preserve">Op 19 oktober 2026 zijn de twee oorspronkelijke GeoTIFFs, de QGIS-stijl en de</w:t>
      </w:r>
      <w:r>
        <w:t xml:space="preserve"> </w:t>
      </w:r>
      <w:r>
        <w:t xml:space="preserve">shapefile van de 25 bronplots rechtstreeks van Achim Häger ontvangen en</w:t>
      </w:r>
      <w:r>
        <w:t xml:space="preserve"> </w:t>
      </w:r>
      <w:r>
        <w:t xml:space="preserve">ongewijzigd opgeslagen onder</w:t>
      </w:r>
      <w:r>
        <w:t xml:space="preserve"> </w:t>
      </w:r>
      <w:r>
        <w:rPr>
          <w:rStyle w:val="VerbatimChar"/>
        </w:rPr>
        <w:t xml:space="preserve">Landgebruik/schmidt_tauscher_2025/bron/</w:t>
      </w:r>
      <w:r>
        <w:t xml:space="preserve">. De</w:t>
      </w:r>
      <w:r>
        <w:t xml:space="preserve"> </w:t>
      </w:r>
      <w:r>
        <w:t xml:space="preserve">acht bronbestanden zijn met SHA256 vastgelegd. De GeoTIFFs staan in RD New,</w:t>
      </w:r>
      <w:r>
        <w:t xml:space="preserve"> </w:t>
      </w:r>
      <w:r>
        <w:t xml:space="preserve">omvatten 369.710 geldige pixels in 2001 en 369.662 in 2022 en hebben een</w:t>
      </w:r>
      <w:r>
        <w:t xml:space="preserve"> </w:t>
      </w:r>
      <w:r>
        <w:t xml:space="preserve">resolutie van ongeveer 5 bij 5 meter. Alle 739.372 pixels hebben een bekende</w:t>
      </w:r>
      <w:r>
        <w:t xml:space="preserve"> </w:t>
      </w:r>
      <w:r>
        <w:t xml:space="preserve">klasse en vallen binnen een van de 25 bronplots. Over 350</w:t>
      </w:r>
      <w:r>
        <w:t xml:space="preserve"> </w:t>
      </w:r>
      <w:r>
        <w:t xml:space="preserve">plot–klasse–jaarvergelijkingen is het gemiddelde absolute verschil met het</w:t>
      </w:r>
      <w:r>
        <w:t xml:space="preserve"> </w:t>
      </w:r>
      <w:r>
        <w:t xml:space="preserve">openbare supplement 0,0032 hectare en het maximum 0,030 hectare. De rasters</w:t>
      </w:r>
      <w:r>
        <w:t xml:space="preserve"> </w:t>
      </w:r>
      <w:r>
        <w:t xml:space="preserve">zijn daarmee toegelaten voor afleiding van horizontale structuurmaten.</w:t>
      </w:r>
    </w:p>
    <w:p>
      <w:pPr>
        <w:pStyle w:val="BodyText"/>
      </w:pPr>
      <w:r>
        <w:t xml:space="preserve">Per plot en klasse zijn aandeel, aantal en dichtheid van aaneengesloten</w:t>
      </w:r>
      <w:r>
        <w:t xml:space="preserve"> </w:t>
      </w:r>
      <w:r>
        <w:t xml:space="preserve">vlakken, aandeel van het grootste vlak en randdichtheid berekend. Per plot zijn</w:t>
      </w:r>
      <w:r>
        <w:t xml:space="preserve"> </w:t>
      </w:r>
      <w:r>
        <w:t xml:space="preserve">ook klassenrijkdom, Shannon-diversiteit en totale interne randdichtheid</w:t>
      </w:r>
      <w:r>
        <w:t xml:space="preserve"> </w:t>
      </w:r>
      <w:r>
        <w:t xml:space="preserve">vastgelegd. Tussen 2001 en 2022 stijgt over de 25 plots de mediane interne</w:t>
      </w:r>
      <w:r>
        <w:t xml:space="preserve"> </w:t>
      </w:r>
      <w:r>
        <w:t xml:space="preserve">randdichtheid met 49,0 meter per hectare en de mediane Shannon-diversiteit met</w:t>
      </w:r>
      <w:r>
        <w:t xml:space="preserve"> </w:t>
      </w:r>
      <w:r>
        <w:t xml:space="preserve">0,049; de mediane klassenrijkdom verandert niet. Dit beschrijft ruimtelijke</w:t>
      </w:r>
      <w:r>
        <w:t xml:space="preserve"> </w:t>
      </w:r>
      <w:r>
        <w:t xml:space="preserve">patronen in twee kaartjaren, geen jaarlijkse ontwikkeling of causale relatie.</w:t>
      </w:r>
      <w:r>
        <w:t xml:space="preserve"> </w:t>
      </w:r>
      <w:r>
        <w:t xml:space="preserve">De levering bevat geen trainingspolygonen en geen oorspronkelijke 125</w:t>
      </w:r>
      <w:r>
        <w:t xml:space="preserve"> </w:t>
      </w:r>
      <w:r>
        <w:t xml:space="preserve">validatiepunten. Sandra Schmidt-Tauscher heeft op 20 oktober 2026 bevestigd dat</w:t>
      </w:r>
      <w:r>
        <w:t xml:space="preserve"> </w:t>
      </w:r>
      <w:r>
        <w:t xml:space="preserve">ook de oorspronkelijke trainingspixels niet meer beschikbaar zijn. Zij heeft</w:t>
      </w:r>
      <w:r>
        <w:t xml:space="preserve"> </w:t>
      </w:r>
      <w:r>
        <w:t xml:space="preserve">wel de gebruikte instellingen van de Semi-Automatic Classification Plugin</w:t>
      </w:r>
      <w:r>
        <w:t xml:space="preserve"> </w:t>
      </w:r>
      <w:r>
        <w:t xml:space="preserve">vastgelegd: een Random Forest met 10 beslisbomen en 5.000 trainingspixels. In</w:t>
      </w:r>
      <w:r>
        <w:t xml:space="preserve"> </w:t>
      </w:r>
      <w:r>
        <w:t xml:space="preserve">hun eigen proeven nam de classificatienauwkeurigheid af bij hogere aantallen</w:t>
      </w:r>
      <w:r>
        <w:t xml:space="preserve"> </w:t>
      </w:r>
      <w:r>
        <w:t xml:space="preserve">bomen of trainingspixels. Dit vult de methodebeschrijving aan, maar zonder de</w:t>
      </w:r>
      <w:r>
        <w:t xml:space="preserve"> </w:t>
      </w:r>
      <w:r>
        <w:t xml:space="preserve">gebruikte trainingspixels en validatiepunten kan de classificatie niet exact</w:t>
      </w:r>
      <w:r>
        <w:t xml:space="preserve"> </w:t>
      </w:r>
      <w:r>
        <w:t xml:space="preserve">worden gereproduceerd of op pixelniveau onafhankelijk worden gecontroleerd.</w:t>
      </w:r>
      <w:r>
        <w:t xml:space="preserve"> </w:t>
      </w:r>
      <w:r>
        <w:t xml:space="preserve">Achim meldt bovendien dat vergelijking over meer dan twee beeldjaren ook met</w:t>
      </w:r>
      <w:r>
        <w:t xml:space="preserve"> </w:t>
      </w:r>
      <w:r>
        <w:t xml:space="preserve">textuurmaten moeilijk bleef. De bron meet geen vegetatiehoogte, voedsel,</w:t>
      </w:r>
      <w:r>
        <w:t xml:space="preserve"> </w:t>
      </w:r>
      <w:r>
        <w:t xml:space="preserve">nestgelegenheid of andere habitatkwaliteit.</w:t>
      </w:r>
    </w:p>
    <w:p>
      <w:pPr>
        <w:pStyle w:val="BodyText"/>
      </w:pPr>
      <w:r>
        <w:t xml:space="preserve">Achim Häger en Sandra Schmidt-Tauscher hebben op 20 oktober 2026 beiden</w:t>
      </w:r>
      <w:r>
        <w:t xml:space="preserve"> </w:t>
      </w:r>
      <w:r>
        <w:t xml:space="preserve">schriftelijk ingestemd met gebruik van de twee classificatierasters voor verder</w:t>
      </w:r>
      <w:r>
        <w:t xml:space="preserve"> </w:t>
      </w:r>
      <w:r>
        <w:t xml:space="preserve">onderzoek. De rasters en afgeleide resultaten mogen daarmee in de</w:t>
      </w:r>
      <w:r>
        <w:t xml:space="preserve"> </w:t>
      </w:r>
      <w:r>
        <w:t xml:space="preserve">broedvogel–vegetatieanalyse en de daaruit voortkomende onderzoeksrapportage</w:t>
      </w:r>
      <w:r>
        <w:t xml:space="preserve"> </w:t>
      </w:r>
      <w:r>
        <w:t xml:space="preserve">worden gebruikt. Er is geen open licentie of afzonderlijke toestemming voor</w:t>
      </w:r>
      <w:r>
        <w:t xml:space="preserve"> </w:t>
      </w:r>
      <w:r>
        <w:t xml:space="preserve">openbare verspreiding van de oorspronkelijke GeoTIFFs vastgelegd; die</w:t>
      </w:r>
      <w:r>
        <w:t xml:space="preserve"> </w:t>
      </w:r>
      <w:r>
        <w:t xml:space="preserve">bronbestanden worden daarom niet zelfstandig gepubliceerd.</w:t>
      </w:r>
    </w:p>
    <w:p>
      <w:pPr>
        <w:pStyle w:val="BodyText"/>
      </w:pPr>
      <w:r>
        <w:rPr>
          <w:b/>
          <w:bCs/>
        </w:rPr>
        <w:t xml:space="preserve">KWR-onderzoek:</w:t>
      </w:r>
      <w:r>
        <w:t xml:space="preserve"> </w:t>
      </w:r>
      <w:r>
        <w:t xml:space="preserve">de modelreeks is op 26 oktober 2026 getoetst aan de</w:t>
      </w:r>
      <w:r>
        <w:t xml:space="preserve"> </w:t>
      </w:r>
      <w:r>
        <w:t xml:space="preserve">oorspronkelijke publicaties en actuele KWR-documentatie. HYVEG is in de</w:t>
      </w:r>
      <w:r>
        <w:t xml:space="preserve"> </w:t>
      </w:r>
      <w:r>
        <w:t xml:space="preserve">gevonden publicatie uit 1994 gericht op de relatie tussen hydrologie en planten</w:t>
      </w:r>
      <w:r>
        <w:t xml:space="preserve"> </w:t>
      </w:r>
      <w:r>
        <w:t xml:space="preserve">van vochtige duinvalleien. MODAK is een Kiwa-haalbaarheidsstudie uit 2003 van</w:t>
      </w:r>
      <w:r>
        <w:t xml:space="preserve"> </w:t>
      </w:r>
      <w:r>
        <w:t xml:space="preserve">45 pagina's; de volledige rapporttekst is niet openbaar teruggevonden.</w:t>
      </w:r>
      <w:r>
        <w:t xml:space="preserve"> </w:t>
      </w:r>
      <w:r>
        <w:t xml:space="preserve">PROBE-1 is in 2006 ontwikkeld en wordt volgens de handleiding uit 2025 door</w:t>
      </w:r>
      <w:r>
        <w:t xml:space="preserve"> </w:t>
      </w:r>
      <w:r>
        <w:t xml:space="preserve">KWR voor Dunea, PWN en Waternet gebruikt om op 5- of 10-metergrid het</w:t>
      </w:r>
      <w:r>
        <w:t xml:space="preserve"> </w:t>
      </w:r>
      <w:r>
        <w:t xml:space="preserve">ruimtelijke potentieel van plantengemeenschappen onder hydrologische,</w:t>
      </w:r>
      <w:r>
        <w:t xml:space="preserve"> </w:t>
      </w:r>
      <w:r>
        <w:t xml:space="preserve">depositie- en beheerscenario's te berekenen. De geraadpleegde bronnen tonen een</w:t>
      </w:r>
      <w:r>
        <w:t xml:space="preserve"> </w:t>
      </w:r>
      <w:r>
        <w:t xml:space="preserve">inhoudelijke ontwikkellijn, maar bewijzen niet dat HYVEG-code of -coëfficiënten</w:t>
      </w:r>
      <w:r>
        <w:t xml:space="preserve"> </w:t>
      </w:r>
      <w:r>
        <w:t xml:space="preserve">rechtstreeks via MODAK in PROBE zijn overgenomen.</w:t>
      </w:r>
    </w:p>
    <w:p>
      <w:pPr>
        <w:pStyle w:val="BodyText"/>
      </w:pPr>
      <w:r>
        <w:t xml:space="preserve">PROBE-3 is in 2016 beproefd voor korte, grondwateronafhankelijke droge</w:t>
      </w:r>
      <w:r>
        <w:t xml:space="preserve"> </w:t>
      </w:r>
      <w:r>
        <w:t xml:space="preserve">duinvegetatie. De vegetatiemodule onderscheidde zes associaties en classificeerde</w:t>
      </w:r>
      <w:r>
        <w:t xml:space="preserve"> </w:t>
      </w:r>
      <w:r>
        <w:t xml:space="preserve">82% van een achtergehouden helft van ruim 35.000 landelijke vegetatieopnamen</w:t>
      </w:r>
      <w:r>
        <w:t xml:space="preserve"> </w:t>
      </w:r>
      <w:r>
        <w:t xml:space="preserve">juist. De temporele veldtoets omvatte echter 30 proefvlakken in de</w:t>
      </w:r>
      <w:r>
        <w:t xml:space="preserve"> </w:t>
      </w:r>
      <w:r>
        <w:t xml:space="preserve">Luchterduinen. Het rapport noemt onder meer te hoge biomassaschattingen en het</w:t>
      </w:r>
      <w:r>
        <w:t xml:space="preserve"> </w:t>
      </w:r>
      <w:r>
        <w:t xml:space="preserve">ontbreken van begrazing, konijnen, mossen, korstmossen, verspreiding en</w:t>
      </w:r>
      <w:r>
        <w:t xml:space="preserve"> </w:t>
      </w:r>
      <w:r>
        <w:t xml:space="preserve">vertraagde reacties. Dit is geen volledige mislukking, maar evenmin een</w:t>
      </w:r>
      <w:r>
        <w:t xml:space="preserve"> </w:t>
      </w:r>
      <w:r>
        <w:t xml:space="preserve">gevalideerd historisch voorspelmodel voor Meijendel. Het door Harrie Van der</w:t>
      </w:r>
      <w:r>
        <w:t xml:space="preserve"> </w:t>
      </w:r>
      <w:r>
        <w:t xml:space="preserve">Hagen genoemde Dunea/KWR-project van omstreeks 2023 met weinig voorspellende</w:t>
      </w:r>
      <w:r>
        <w:t xml:space="preserve"> </w:t>
      </w:r>
      <w:r>
        <w:t xml:space="preserve">waarde is niet als afzonderlijk openbaar rapport geïdentificeerd en blijft op</w:t>
      </w:r>
      <w:r>
        <w:t xml:space="preserve"> </w:t>
      </w:r>
      <w:r>
        <w:t xml:space="preserve">dat punt ervaringsinformatie. KWR publiceerde in 2025 en 2026 nieuw empirisch</w:t>
      </w:r>
      <w:r>
        <w:t xml:space="preserve"> </w:t>
      </w:r>
      <w:r>
        <w:t xml:space="preserve">onderzoek naar droge kustduinvegetatie.</w:t>
      </w:r>
    </w:p>
    <w:p>
      <w:pPr>
        <w:pStyle w:val="BodyText"/>
      </w:pPr>
      <w:r>
        <w:t xml:space="preserve">Een schemazoeking in alle tabellen en kolommen van de levende MySQL-database</w:t>
      </w:r>
      <w:r>
        <w:t xml:space="preserve"> </w:t>
      </w:r>
      <w:r>
        <w:rPr>
          <w:rStyle w:val="VerbatimChar"/>
        </w:rPr>
        <w:t xml:space="preserve">Meijendel</w:t>
      </w:r>
      <w:r>
        <w:t xml:space="preserve"> </w:t>
      </w:r>
      <w:r>
        <w:t xml:space="preserve">op 26 oktober 2026 vond nul namen voor GVG, GLG,</w:t>
      </w:r>
      <w:r>
        <w:t xml:space="preserve"> </w:t>
      </w:r>
      <w:r>
        <w:t xml:space="preserve">wortelzonecalcium of vegetatieassociatie. Dit bewijst niet dat afzonderlijke</w:t>
      </w:r>
      <w:r>
        <w:t xml:space="preserve"> </w:t>
      </w:r>
      <w:r>
        <w:t xml:space="preserve">bronnen buiten de database geen hydrologische of vegetatiekundige informatie</w:t>
      </w:r>
      <w:r>
        <w:t xml:space="preserve"> </w:t>
      </w:r>
      <w:r>
        <w:t xml:space="preserve">bevatten, maar wel dat de voor PROBE herkenbare gebiedsdekkende invoerset niet</w:t>
      </w:r>
      <w:r>
        <w:t xml:space="preserve"> </w:t>
      </w:r>
      <w:r>
        <w:t xml:space="preserve">als zodanig in de levende database is opgeslagen. PROBE voorspelt bovendien</w:t>
      </w:r>
      <w:r>
        <w:t xml:space="preserve"> </w:t>
      </w:r>
      <w:r>
        <w:t xml:space="preserve">vegetatie, geen vogels, en vervangt geen waargenomen tijdreeks van horizontale</w:t>
      </w:r>
      <w:r>
        <w:t xml:space="preserve"> </w:t>
      </w:r>
      <w:r>
        <w:t xml:space="preserve">structuur. Er zijn nul</w:t>
      </w:r>
      <w:r>
        <w:t xml:space="preserve"> </w:t>
      </w:r>
      <w:r>
        <w:t xml:space="preserve">digitale PROBE-uitvoerbestanden of invoerrasters geïmporteerd. Het onderzoek</w:t>
      </w:r>
      <w:r>
        <w:t xml:space="preserve"> </w:t>
      </w:r>
      <w:r>
        <w:t xml:space="preserve">verandert daarom geen analysewaarde of bronstatus. De betekenis voor de</w:t>
      </w:r>
      <w:r>
        <w:t xml:space="preserve"> </w:t>
      </w:r>
      <w:r>
        <w:t xml:space="preserve">broedvogel–vegetatieanalyse, de beperkingen per model en de geraadpleegde</w:t>
      </w:r>
      <w:r>
        <w:t xml:space="preserve"> </w:t>
      </w:r>
      <w:r>
        <w:t xml:space="preserve">primaire bronnen staan in</w:t>
      </w:r>
      <w:r>
        <w:t xml:space="preserve"> </w:t>
      </w:r>
      <w:r>
        <w:rPr>
          <w:rStyle w:val="VerbatimChar"/>
        </w:rPr>
        <w:t xml:space="preserve">analyses/broedvogel_vegetatie_power/MODAK_PROBE_HYVEG_BRONONDERZOEK.md</w:t>
      </w:r>
      <w:r>
        <w:t xml:space="preserve">.</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6" w:name="_5a3c854a1ae73aceac94ca91c157868f870ab17"/>
      <w:r>
        <w:t xml:space="preserve">3.12. Geografische namen en historische paden</w:t>
      </w:r>
      <w:bookmarkEnd w:id="86"/>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7">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8">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9">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90" w:name="_c540a83ee65aaec11aa446aec0815d16fd21e21"/>
      <w:r>
        <w:t xml:space="preserve">4. Verwachte aanvullingen</w:t>
      </w:r>
      <w:bookmarkEnd w:id="90"/>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91" w:name="_422e6271160c2b04a3b59fb5b59cfcc2e3afc55"/>
      <w:r>
        <w:t xml:space="preserve">5. Bronnen die niet verder worden uitgewerkt</w:t>
      </w:r>
      <w:bookmarkEnd w:id="91"/>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2" w:name="_b05dec49988a12f7955d21ff17f1c91e4d061eb"/>
      <w:r>
        <w:t xml:space="preserve">6. Gebruik van dit register</w:t>
      </w:r>
      <w:bookmarkEnd w:id="92"/>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3" w:name="_67781990bcb7d7d43cc312a7ef48f37a1f83265"/>
      <w:r>
        <w:t xml:space="preserve">7. Actieplan</w:t>
      </w:r>
      <w:bookmarkEnd w:id="93"/>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4" w:name="_d7f889e2150e602eaeb242f489896c9b52af547"/>
      <w:r>
        <w:t xml:space="preserve">Fase 1 — openbare, direct toetsbare bronnen</w:t>
      </w:r>
      <w:bookmarkEnd w:id="94"/>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5" w:name="_a67120beb48c3916f8a53c623f303ce8b8a6005"/>
      <w:r>
        <w:t xml:space="preserve">Fase 2 — reeksen met grote historische of trendwaarde</w:t>
      </w:r>
      <w:bookmarkEnd w:id="95"/>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6" w:name="_c96f79f2027e81b7ab280f9bf69df5af8bdf464"/>
      <w:r>
        <w:t xml:space="preserve">Fase 3 — reeds bekende bronhouders en contextdatasets</w:t>
      </w:r>
      <w:bookmarkEnd w:id="96"/>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7" w:name="_d490f73b19661b8ff0d346b94e527be91e989c7"/>
      <w:r>
        <w:t xml:space="preserve">Vaste werkwijze per bron</w:t>
      </w:r>
      <w:bookmarkEnd w:id="97"/>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8" w:name="_1e50ec235a164d1e043cda4cec7be66fb154af3"/>
      <w:r>
        <w:t xml:space="preserve">Dekking van de internetcontrole</w:t>
      </w:r>
      <w:bookmarkEnd w:id="98"/>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9" w:name="_5001ec8ecf742000e2504f4f268bea177f3f158"/>
      <w:r>
        <w:t xml:space="preserve">Achterliggende verantwoording</w:t>
      </w:r>
      <w:bookmarkEnd w:id="99"/>
    </w:p>
    <w:p>
      <w:pPr>
        <w:pStyle w:val="Compact"/>
        <w:numPr>
          <w:ilvl w:val="0"/>
          <w:numId w:val="1005"/>
        </w:numPr>
      </w:pPr>
      <w:hyperlink r:id="rId100">
        <w:r>
          <w:rPr>
            <w:rStyle w:val="Hyperlink"/>
          </w:rPr>
          <w:t xml:space="preserve">NDFF-staging en bronvergelijking</w:t>
        </w:r>
      </w:hyperlink>
    </w:p>
    <w:p>
      <w:pPr>
        <w:pStyle w:val="Compact"/>
        <w:numPr>
          <w:ilvl w:val="0"/>
          <w:numId w:val="1005"/>
        </w:numPr>
      </w:pPr>
      <w:hyperlink r:id="rId101">
        <w:r>
          <w:rPr>
            <w:rStyle w:val="Hyperlink"/>
          </w:rPr>
          <w:t xml:space="preserve">NDFF-protocolaudit</w:t>
        </w:r>
      </w:hyperlink>
    </w:p>
    <w:p>
      <w:pPr>
        <w:pStyle w:val="Compact"/>
        <w:numPr>
          <w:ilvl w:val="0"/>
          <w:numId w:val="1005"/>
        </w:numPr>
      </w:pPr>
      <w:hyperlink r:id="rId102">
        <w:r>
          <w:rPr>
            <w:rStyle w:val="Hyperlink"/>
          </w:rPr>
          <w:t xml:space="preserve">Scheiding tussen Meijendel en Meijendel_bronnen</w:t>
        </w:r>
      </w:hyperlink>
    </w:p>
    <w:p>
      <w:pPr>
        <w:pStyle w:val="Compact"/>
        <w:numPr>
          <w:ilvl w:val="0"/>
          <w:numId w:val="1005"/>
        </w:numPr>
      </w:pPr>
      <w:hyperlink r:id="rId103">
        <w:r>
          <w:rPr>
            <w:rStyle w:val="Hyperlink"/>
          </w:rPr>
          <w:t xml:space="preserve">Ruimtelijke audit van contextbronnen</w:t>
        </w:r>
      </w:hyperlink>
    </w:p>
    <w:p>
      <w:pPr>
        <w:pStyle w:val="Compact"/>
        <w:numPr>
          <w:ilvl w:val="0"/>
          <w:numId w:val="1005"/>
        </w:numPr>
      </w:pPr>
      <w:hyperlink r:id="rId104">
        <w:r>
          <w:rPr>
            <w:rStyle w:val="Hyperlink"/>
          </w:rPr>
          <w:t xml:space="preserve">Importbesluit duinvalleivegetatie</w:t>
        </w:r>
      </w:hyperlink>
    </w:p>
    <w:p>
      <w:pPr>
        <w:pStyle w:val="Compact"/>
        <w:numPr>
          <w:ilvl w:val="0"/>
          <w:numId w:val="1005"/>
        </w:numPr>
      </w:pPr>
      <w:hyperlink r:id="rId105">
        <w:r>
          <w:rPr>
            <w:rStyle w:val="Hyperlink"/>
          </w:rPr>
          <w:t xml:space="preserve">Ruimtelijke bronlagen en toelatingsregels</w:t>
        </w:r>
      </w:hyperlink>
    </w:p>
    <w:p>
      <w:pPr>
        <w:pStyle w:val="Compact"/>
        <w:numPr>
          <w:ilvl w:val="0"/>
          <w:numId w:val="1005"/>
        </w:numPr>
      </w:pPr>
      <w:hyperlink r:id="rId106">
        <w:r>
          <w:rPr>
            <w:rStyle w:val="Hyperlink"/>
          </w:rPr>
          <w:t xml:space="preserve">Beveiligde NDFF-ontvangst</w:t>
        </w:r>
      </w:hyperlink>
    </w:p>
    <w:p>
      <w:pPr>
        <w:pStyle w:val="Heading2"/>
      </w:pPr>
      <w:bookmarkStart w:id="107" w:name="_c4c5e83029c8593231be35dbc87830101c46a33"/>
      <w:r>
        <w:t xml:space="preserve">Integratie begrazing en toegankelijkheid op 16 oktober 2026</w:t>
      </w:r>
      <w:bookmarkEnd w:id="107"/>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8">
        <w:r>
          <w:rPr>
            <w:rStyle w:val="Hyperlink"/>
          </w:rPr>
          <w:t xml:space="preserve">https://dwc.tdwg.org/terms/</w:t>
        </w:r>
      </w:hyperlink>
      <w:r>
        <w:t xml:space="preserve">) en TDWG TCS (</w:t>
      </w:r>
      <w:hyperlink r:id="rId109">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10" w:name="_bbb680e0e85eb3eb154bfc12bc9c8fc0b3d6d97"/>
      <w:r>
        <w:t xml:space="preserve">Rechtstreekse aansluiting zonder compatibiliteitsviews</w:t>
      </w:r>
      <w:bookmarkEnd w:id="110"/>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102" Type="http://schemas.openxmlformats.org/officeDocument/2006/relationships/hyperlink" Target="bronnen/MEIJENDEL_BRONNEN.md" TargetMode="External"/><Relationship Id="rId103" Type="http://schemas.openxmlformats.org/officeDocument/2006/relationships/hyperlink" Target="bronnen/audits/MEIJENDEL_BRONNEN_AUDIT.md" TargetMode="External"/><Relationship Id="rId101" Type="http://schemas.openxmlformats.org/officeDocument/2006/relationships/hyperlink" Target="bronnen/audits/NDFF_PROTOCOLAUDIT.md" TargetMode="External"/><Relationship Id="rId100" Type="http://schemas.openxmlformats.org/officeDocument/2006/relationships/hyperlink" Target="bronnen/bronvergelijkingen/NDFF_STAGINGDATASET.md" TargetMode="External"/><Relationship Id="rId104" Type="http://schemas.openxmlformats.org/officeDocument/2006/relationships/hyperlink" Target="bronnen/importbesluiten/DUINVALLEI_VEGETATIE.md" TargetMode="External"/><Relationship Id="rId105" Type="http://schemas.openxmlformats.org/officeDocument/2006/relationships/hyperlink" Target="bronnen/importbesluiten/MEIJENDEL_RUIMTELIJKE_LAGEN.md" TargetMode="External"/><Relationship Id="rId106"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5" Type="http://schemas.openxmlformats.org/officeDocument/2006/relationships/hyperlink" Target="https://doi.org/10.1007/s10531-025-03175-x" TargetMode="External"/><Relationship Id="rId79"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1" Type="http://schemas.openxmlformats.org/officeDocument/2006/relationships/hyperlink" Target="https://doi.org/10.17026/DANS-28X-UT8Q" TargetMode="External"/><Relationship Id="rId77" Type="http://schemas.openxmlformats.org/officeDocument/2006/relationships/hyperlink" Target="https://doi.org/10.5061/dryad.8cz8w9gnc" TargetMode="External"/><Relationship Id="rId59" Type="http://schemas.openxmlformats.org/officeDocument/2006/relationships/hyperlink" Target="https://doi.org/10.5281/zenodo.21796880" TargetMode="External"/><Relationship Id="rId75" Type="http://schemas.openxmlformats.org/officeDocument/2006/relationships/hyperlink" Target="https://doi.org/10.6084/m9.figshare.25425601.v1" TargetMode="External"/><Relationship Id="rId108" Type="http://schemas.openxmlformats.org/officeDocument/2006/relationships/hyperlink" Target="https://dwc.tdwg.org/terms/" TargetMode="External"/><Relationship Id="rId89" Type="http://schemas.openxmlformats.org/officeDocument/2006/relationships/hyperlink" Target="https://edepot.wur.nl/183358" TargetMode="External"/><Relationship Id="rId87" Type="http://schemas.openxmlformats.org/officeDocument/2006/relationships/hyperlink" Target="https://edepot.wur.nl/393293" TargetMode="External"/><Relationship Id="rId88" Type="http://schemas.openxmlformats.org/officeDocument/2006/relationships/hyperlink" Target="https://pas.ecologischeautoriteit.nl/files/ea/5004/011152-5004-cultuursporen-in-het-duin.pdf" TargetMode="External"/><Relationship Id="rId72" Type="http://schemas.openxmlformats.org/officeDocument/2006/relationships/hyperlink" Target="https://repository.naturalis.nl/pub/317221" TargetMode="External"/><Relationship Id="rId70" Type="http://schemas.openxmlformats.org/officeDocument/2006/relationships/hyperlink" Target="https://repository.naturalis.nl/pub/317242" TargetMode="External"/><Relationship Id="rId109" Type="http://schemas.openxmlformats.org/officeDocument/2006/relationships/hyperlink" Target="https://tcs.tdwg.org/terms/" TargetMode="External"/><Relationship Id="rId84" Type="http://schemas.openxmlformats.org/officeDocument/2006/relationships/hyperlink" Target="https://www.ahn.nl/dataroom" TargetMode="External"/><Relationship Id="rId56"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102" Type="http://schemas.openxmlformats.org/officeDocument/2006/relationships/hyperlink" Target="bronnen/MEIJENDEL_BRONNEN.md" TargetMode="External"/><Relationship Id="rId103" Type="http://schemas.openxmlformats.org/officeDocument/2006/relationships/hyperlink" Target="bronnen/audits/MEIJENDEL_BRONNEN_AUDIT.md" TargetMode="External"/><Relationship Id="rId101" Type="http://schemas.openxmlformats.org/officeDocument/2006/relationships/hyperlink" Target="bronnen/audits/NDFF_PROTOCOLAUDIT.md" TargetMode="External"/><Relationship Id="rId100" Type="http://schemas.openxmlformats.org/officeDocument/2006/relationships/hyperlink" Target="bronnen/bronvergelijkingen/NDFF_STAGINGDATASET.md" TargetMode="External"/><Relationship Id="rId104" Type="http://schemas.openxmlformats.org/officeDocument/2006/relationships/hyperlink" Target="bronnen/importbesluiten/DUINVALLEI_VEGETATIE.md" TargetMode="External"/><Relationship Id="rId105" Type="http://schemas.openxmlformats.org/officeDocument/2006/relationships/hyperlink" Target="bronnen/importbesluiten/MEIJENDEL_RUIMTELIJKE_LAGEN.md" TargetMode="External"/><Relationship Id="rId106"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5" Type="http://schemas.openxmlformats.org/officeDocument/2006/relationships/hyperlink" Target="https://doi.org/10.1007/s10531-025-03175-x" TargetMode="External"/><Relationship Id="rId79"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1" Type="http://schemas.openxmlformats.org/officeDocument/2006/relationships/hyperlink" Target="https://doi.org/10.17026/DANS-28X-UT8Q" TargetMode="External"/><Relationship Id="rId77" Type="http://schemas.openxmlformats.org/officeDocument/2006/relationships/hyperlink" Target="https://doi.org/10.5061/dryad.8cz8w9gnc" TargetMode="External"/><Relationship Id="rId59" Type="http://schemas.openxmlformats.org/officeDocument/2006/relationships/hyperlink" Target="https://doi.org/10.5281/zenodo.21796880" TargetMode="External"/><Relationship Id="rId75" Type="http://schemas.openxmlformats.org/officeDocument/2006/relationships/hyperlink" Target="https://doi.org/10.6084/m9.figshare.25425601.v1" TargetMode="External"/><Relationship Id="rId108" Type="http://schemas.openxmlformats.org/officeDocument/2006/relationships/hyperlink" Target="https://dwc.tdwg.org/terms/" TargetMode="External"/><Relationship Id="rId89" Type="http://schemas.openxmlformats.org/officeDocument/2006/relationships/hyperlink" Target="https://edepot.wur.nl/183358" TargetMode="External"/><Relationship Id="rId87" Type="http://schemas.openxmlformats.org/officeDocument/2006/relationships/hyperlink" Target="https://edepot.wur.nl/393293" TargetMode="External"/><Relationship Id="rId88" Type="http://schemas.openxmlformats.org/officeDocument/2006/relationships/hyperlink" Target="https://pas.ecologischeautoriteit.nl/files/ea/5004/011152-5004-cultuursporen-in-het-duin.pdf" TargetMode="External"/><Relationship Id="rId72" Type="http://schemas.openxmlformats.org/officeDocument/2006/relationships/hyperlink" Target="https://repository.naturalis.nl/pub/317221" TargetMode="External"/><Relationship Id="rId70" Type="http://schemas.openxmlformats.org/officeDocument/2006/relationships/hyperlink" Target="https://repository.naturalis.nl/pub/317242" TargetMode="External"/><Relationship Id="rId109" Type="http://schemas.openxmlformats.org/officeDocument/2006/relationships/hyperlink" Target="https://tcs.tdwg.org/terms/" TargetMode="External"/><Relationship Id="rId84" Type="http://schemas.openxmlformats.org/officeDocument/2006/relationships/hyperlink" Target="https://www.ahn.nl/dataroom" TargetMode="External"/><Relationship Id="rId56"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2026-10-26T09:39:55Z</dcterms:created>
  <dcterms:modified xsi:type="dcterms:W3CDTF">2026-10-26T09:39:55Z</dcterms:modified>
</cp:coreProperties>
</file>

<file path=docProps/custom.xml><?xml version="1.0" encoding="utf-8"?>
<Properties xmlns="http://schemas.openxmlformats.org/officeDocument/2006/custom-properties" xmlns:vt="http://schemas.openxmlformats.org/officeDocument/2006/docPropsVTypes"/>
</file>