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Samen met de zes al gebruikte Zotero-bronnen bevat</w:t>
      </w:r>
      <w:r>
        <w:t xml:space="preserve"> </w:t>
      </w:r>
      <w:r>
        <w:rPr>
          <w:rStyle w:val="VerbatimChar"/>
        </w:rPr>
        <w:t xml:space="preserve">maatregel_bron</w:t>
      </w:r>
      <w:r>
        <w:t xml:space="preserve"> </w:t>
      </w:r>
      <w:r>
        <w:t xml:space="preserve">nu 25 lokale Zotero-bronnen. Dubbele exemplaren, algemene gebiedsbeschrijvingen, uitsluitend voorgenomen werk en niet-lokaliseerbare vermeldingen zijn niet als afzonderlijke uitvoering ingevoerd.</w:t>
      </w:r>
    </w:p>
    <w:p>
      <w:pPr>
        <w:pStyle w:val="BodyText"/>
      </w:pPr>
      <w:r>
        <w:t xml:space="preserve">Daarbij zijn twaalf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 1306 over het Programma Investeringen Meijendel; en de officiële externe bijlage uit 2013 over de PIM-werkzaamheden in Noord-Meijendel.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37 bronnen, 64 uitvoeringen, 104 expliciete jaarbeoordelingen uit 1967–2026 en 92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133 geverifieerde directe relaties. Daarvan waren 36 al onderbouwd met expliciete kavelvermeldingen, gebruikersvaststellingen of een bijzondere gebiedsnaam. De nameninventaris voegt 32 geometrische doorsnijdingen toe voor zes volledig en letterlijk gelokaliseerde uitvoeringen. Daarnaast zijn elf relaties toegevoegd voor de volledige systemen Pan 13 en Plas 20, zeven voor het PIM-leidingwerk en één voor infiltratieplas 27.2.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133 plotkoppelingen en 88 uitgevoerde jaarregels leveren samen 186 regels in</w:t>
      </w:r>
      <w:r>
        <w:t xml:space="preserve"> </w:t>
      </w:r>
      <w:r>
        <w:rPr>
          <w:rStyle w:val="VerbatimChar"/>
        </w:rPr>
        <w:t xml:space="preserve">v_plot_jaar_maatregel_bronvast</w:t>
      </w:r>
      <w:r>
        <w:t xml:space="preserve">. Het maaibeheer in Ruygenhoek,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Infiltratieplas 27.2 voegt voor M77 één regel in 2013 en één in 2014 toe. De overige eerder vastgelegde koppelingen en jaarselecties blijven inhoudelijk ongewijzigd.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37 ingevoerde bronnen en 64 uitvoeringen. De algemene kavel- en gebiedsindeling is geometrisch beschikbaar voor de 55 actuele plots uit 2025; vijf expliciet gekoppelde historische kavels hebben geen afzonderlijke geometrie. De bronvaste plot-jaarlaag bevat 186 regels voor 1967–1969, 1972–1975, 1988–1991, 1993, 1997, 2002, 2005–2006, 2013–2014 en 2016–2025.</w:t>
      </w:r>
      <w:r>
        <w:t xml:space="preserve"> </w:t>
      </w:r>
      <w:r>
        <w:rPr>
          <w:rStyle w:val="VerbatimChar"/>
        </w:rPr>
        <w:t xml:space="preserve">maatregel_plot_koppeling</w:t>
      </w:r>
      <w:r>
        <w:t xml:space="preserve"> </w:t>
      </w:r>
      <w:r>
        <w:t xml:space="preserve">bevat 133 relaties. Helmduinen heeft er twee; Meeuwenduin en Prinsenduin samen zeven; maatregel 22h zes; het maaibeheer in Ruygenhoek, Lange Strook en De Loopert vijf; het PIM-leidingwerk zeven; infiltratieplas 27.2 één. Veertien uitvoeringen hebben geen directe plotkoppeling; de twee Bendel-uitvoeringen vallen aantoonbaar buiten het Meijendel-plotgebied, zodat nog 12 geheel ongekoppelde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2026-10-15T18:46:56Z</dcterms:created>
  <dcterms:modified xsi:type="dcterms:W3CDTF">2026-10-15T18:46:56Z</dcterms:modified>
</cp:coreProperties>
</file>

<file path=docProps/custom.xml><?xml version="1.0" encoding="utf-8"?>
<Properties xmlns="http://schemas.openxmlformats.org/officeDocument/2006/custom-properties" xmlns:vt="http://schemas.openxmlformats.org/officeDocument/2006/docPropsVTypes"/>
</file>