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18" w:name="_10229b8d94d05cd0ccff524b4ffde7d04772895"/>
      <w:r>
        <w:t xml:space="preserve">Meijendel ingedeeld naar soortgroepen</w:t>
      </w:r>
      <w:bookmarkEnd w:id="18"/>
    </w:p>
    <w:p>
      <w:pPr>
        <w:pStyle w:val="FirstParagraph"/>
      </w:pPr>
      <w:r>
        <w:t xml:space="preserve">Tabelinventaris en voorstel voor herinrichting. Stand van de controles: 13 oktober 2026. De aantallen volgen de levende lokale database. Voor HNS zijn v1 en v2 beide opgenomen: v2 is actueel; v1 blijft als auditspoor bewaard.</w:t>
      </w:r>
    </w:p>
    <w:p>
      <w:pPr>
        <w:pStyle w:val="Heading2"/>
      </w:pPr>
      <w:bookmarkStart w:id="19" w:name="_hoofdkeuze"/>
      <w:r>
        <w:t xml:space="preserve">Hoofdkeuze</w:t>
      </w:r>
      <w:bookmarkEnd w:id="19"/>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20" w:name="_402e1c3284f0f0b6ee1c6a69e00aaeb6637da25"/>
      <w:r>
        <w:t xml:space="preserve">Welke soortgroepen ik adviseer</w:t>
      </w:r>
      <w:bookmarkEnd w:id="20"/>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21" w:name="_b761b8c2d28ae19dc82cfdbce821701c203a044"/>
      <w:r>
        <w:t xml:space="preserve">Hoe de tabelfamilies eruit kunnen zien</w:t>
      </w:r>
      <w:bookmarkEnd w:id="21"/>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22" w:name="_6532dcf1b117ec7ca6c538e53a640cc380192d4"/>
      <w:r>
        <w:t xml:space="preserve">Waar de huidige informatie naartoe gaat</w:t>
      </w:r>
      <w:bookmarkEnd w:id="22"/>
    </w:p>
    <w:p>
      <w:pPr>
        <w:pStyle w:val="Heading3"/>
      </w:pPr>
      <w:bookmarkStart w:id="23" w:name="_24fcb017857ad68cbcd5c1d42a78ef3a6088147"/>
      <w:r>
        <w:t xml:space="preserve">Herkenbare meetstructuren</w:t>
      </w:r>
      <w:bookmarkEnd w:id="23"/>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24" w:name="_47590dd50cc13e22873c5c6c51cf96e536e659f"/>
      <w:r>
        <w:t xml:space="preserve">De zes datasets onder externe ecologie</w:t>
      </w:r>
      <w:bookmarkEnd w:id="24"/>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25" w:name="_0f9cd183848acea3b883cf0d9ca0a3f72bd5c41"/>
      <w:r>
        <w:t xml:space="preserve">Vangblik blijft bijeen</w:t>
      </w:r>
      <w:bookmarkEnd w:id="25"/>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26" w:name="_def3d9739ddd0dad2e58cfdefa20a58b8ccb257"/>
      <w:r>
        <w:t xml:space="preserve">Ook de overige soortgroepen uit AVIMAP meenemen</w:t>
      </w:r>
      <w:bookmarkEnd w:id="26"/>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27" w:name="_7f58e1229666f244e72d09d7d97be1f07853fb0"/>
      <w:r>
        <w:t xml:space="preserve">PQ als gezamenlijke opslag</w:t>
      </w:r>
      <w:bookmarkEnd w:id="27"/>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28" w:name="_8aaf54ec47e3eb62fd9e00e730df6c1b92922d0"/>
      <w:r>
        <w:t xml:space="preserve">Welke verspreide PQ informatie nu aanwezig is</w:t>
      </w:r>
      <w:bookmarkEnd w:id="28"/>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9" w:name="_61c499f22ea4a5b4ebc7edfd85cb47e7c75734c"/>
      <w:r>
        <w:t xml:space="preserve">Wat het PQ schema daarvoor nodig heeft</w:t>
      </w:r>
      <w:bookmarkEnd w:id="29"/>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30" w:name="_11be6e884d5c4aa86608ba07d7afc5a4f6709b0"/>
      <w:r>
        <w:t xml:space="preserve">Hoe ingewikkeld is dit</w:t>
      </w:r>
      <w:bookmarkEnd w:id="30"/>
    </w:p>
    <w:p>
      <w:pPr>
        <w:pStyle w:val="FirstParagraph"/>
      </w:pPr>
      <w:r>
        <w:t xml:space="preserve">Het volledige voorstel is een gegevensmigratie. De complexiteit zit vooral in identiteit, gemengde meetstructuren en behoud van de bestaande betekenis.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31" w:name="_d275c12976b6db7ca538f1cc96154c39857110d"/>
      <w:r>
        <w:t xml:space="preserve">Bronvast werkzaamhedenmodel</w:t>
      </w:r>
      <w:bookmarkEnd w:id="31"/>
    </w:p>
    <w:p>
      <w:pPr>
        <w:pStyle w:val="FirstParagraph"/>
      </w:pPr>
      <w:r>
        <w:t xml:space="preserve">De levende lokale database bevat vanaf 13 oktober 2026 naast de bestaande classificatie een afzonderlijke laag voor projecten, feitelijke of geplande uitvoeringen, expliciete jaarstatussen en bewijsbronnen.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auto" w:w="0"/>
        <w:tblLayout w:type="fixed"/>
        <w:tblLook w:firstRow="1" w:lastRow="0" w:firstColumn="0" w:lastColumn="0" w:noHBand="0" w:noVBand="0" w:val="0020"/>
      </w:tblPr>
      <w:tblGrid>
        <w:gridCol w:w="2640"/>
        <w:gridCol w:w="2640"/>
        <w:gridCol w:w="2640"/>
      </w:tblGrid>
      <w:tr>
        <w:trPr>
          <w:tblHeader w:val="on"/>
        </w:trPr>
        <w:tc>
          <w:tcPr>
            <w:tcW w:type="dxa" w:w="3080"/>
          </w:tcPr>
          <w:p>
            <w:pPr>
              <w:pStyle w:val="Compact"/>
              <w:spacing w:before="0" w:after="0"/>
            </w:pPr>
            <w:r>
              <w:rPr>
                <w:sz w:val="15"/>
              </w:rPr>
              <w:t xml:space="preserve">Tabel of view</w:t>
            </w:r>
          </w:p>
        </w:tc>
        <w:tc>
          <w:tcPr>
            <w:tcW w:type="dxa" w:w="993"/>
          </w:tcPr>
          <w:p>
            <w:pPr>
              <w:pStyle w:val="Compact"/>
              <w:spacing w:before="0" w:after="0"/>
              <w:jc w:val="right"/>
            </w:pPr>
            <w:r>
              <w:rPr>
                <w:sz w:val="15"/>
              </w:rPr>
              <w:t xml:space="preserve">Records</w:t>
            </w:r>
          </w:p>
        </w:tc>
        <w:tc>
          <w:tcPr>
            <w:tcW w:type="dxa" w:w="5862"/>
          </w:tcPr>
          <w:p>
            <w:pPr>
              <w:pStyle w:val="Compact"/>
              <w:spacing w:before="0" w:after="0"/>
            </w:pPr>
            <w:r>
              <w:rPr>
                <w:sz w:val="15"/>
              </w:rPr>
              <w:t xml:space="preserve">Betekenis</w:t>
            </w:r>
          </w:p>
        </w:tc>
      </w:tr>
      <w:tr>
        <w:tc>
          <w:tcPr>
            <w:tcW w:type="dxa" w:w="3080"/>
          </w:tcPr>
          <w:p>
            <w:pPr>
              <w:pStyle w:val="Compact"/>
              <w:spacing w:before="0" w:after="0"/>
            </w:pPr>
            <w:r>
              <w:rPr>
                <w:rStyle w:val="VerbatimChar"/>
                <w:sz w:val="15"/>
              </w:rPr>
              <w:t xml:space="preserve">maatregel_project</w:t>
            </w:r>
          </w:p>
        </w:tc>
        <w:tc>
          <w:tcPr>
            <w:tcW w:type="dxa" w:w="993"/>
          </w:tcPr>
          <w:p>
            <w:pPr>
              <w:pStyle w:val="Compact"/>
              <w:spacing w:before="0" w:after="0"/>
              <w:jc w:val="right"/>
            </w:pPr>
            <w:r>
              <w:rPr>
                <w:sz w:val="15"/>
              </w:rPr>
              <w:t xml:space="preserve">12</w:t>
            </w:r>
          </w:p>
        </w:tc>
        <w:tc>
          <w:tcPr>
            <w:tcW w:type="dxa" w:w="5862"/>
          </w:tcPr>
          <w:p>
            <w:pPr>
              <w:pStyle w:val="Compact"/>
              <w:spacing w:before="0" w:after="0"/>
            </w:pPr>
            <w:r>
              <w:rPr>
                <w:sz w:val="15"/>
              </w:rPr>
              <w:t xml:space="preserve">Samenhangend project of programma; een project kan meerdere uitvoeringen bevatten.</w:t>
            </w:r>
          </w:p>
        </w:tc>
      </w:tr>
      <w:tr>
        <w:tc>
          <w:tcPr>
            <w:tcW w:type="dxa" w:w="3080"/>
          </w:tcPr>
          <w:p>
            <w:pPr>
              <w:pStyle w:val="Compact"/>
              <w:spacing w:before="0" w:after="0"/>
            </w:pPr>
            <w:r>
              <w:rPr>
                <w:rStyle w:val="VerbatimChar"/>
                <w:sz w:val="15"/>
              </w:rPr>
              <w:t xml:space="preserve">maatregel_bron</w:t>
            </w:r>
          </w:p>
        </w:tc>
        <w:tc>
          <w:tcPr>
            <w:tcW w:type="dxa" w:w="993"/>
          </w:tcPr>
          <w:p>
            <w:pPr>
              <w:pStyle w:val="Compact"/>
              <w:spacing w:before="0" w:after="0"/>
              <w:jc w:val="right"/>
            </w:pPr>
            <w:r>
              <w:rPr>
                <w:sz w:val="15"/>
              </w:rPr>
              <w:t>13</w:t>
            </w:r>
          </w:p>
        </w:tc>
        <w:tc>
          <w:tcPr>
            <w:tcW w:type="dxa" w:w="5862"/>
          </w:tcPr>
          <w:p>
            <w:pPr>
              <w:pStyle w:val="Compact"/>
              <w:spacing w:before="0" w:after="0"/>
            </w:pPr>
            <w:r>
              <w:rPr>
                <w:sz w:val="15"/>
              </w:rPr>
              <w:t>Zes lokaal geraadpleegde Zotero-bronnen en zeven officiële webbronnen, ieder met type, datum, status en raadpleegdatum.</w:t>
            </w:r>
          </w:p>
        </w:tc>
      </w:tr>
      <w:tr>
        <w:tc>
          <w:tcPr>
            <w:tcW w:type="dxa" w:w="3080"/>
          </w:tcPr>
          <w:p>
            <w:pPr>
              <w:pStyle w:val="Compact"/>
              <w:spacing w:before="0" w:after="0"/>
            </w:pPr>
            <w:r>
              <w:rPr>
                <w:rStyle w:val="VerbatimChar"/>
                <w:sz w:val="15"/>
              </w:rPr>
              <w:t xml:space="preserve">maatregel_uitvoering</w:t>
            </w:r>
          </w:p>
        </w:tc>
        <w:tc>
          <w:tcPr>
            <w:tcW w:type="dxa" w:w="993"/>
          </w:tcPr>
          <w:p>
            <w:pPr>
              <w:pStyle w:val="Compact"/>
              <w:spacing w:before="0" w:after="0"/>
              <w:jc w:val="right"/>
            </w:pPr>
            <w:r>
              <w:rPr>
                <w:sz w:val="15"/>
              </w:rPr>
              <w:t xml:space="preserve">33</w:t>
            </w:r>
          </w:p>
        </w:tc>
        <w:tc>
          <w:tcPr>
            <w:tcW w:type="dxa" w:w="5862"/>
          </w:tcPr>
          <w:p>
            <w:pPr>
              <w:pStyle w:val="Compact"/>
              <w:spacing w:before="0" w:after="0"/>
            </w:pPr>
            <w:r>
              <w:rPr>
                <w:sz w:val="15"/>
              </w:rPr>
              <w:t xml:space="preserve">Afzonderlijke werkzaamheden of expliciet niet-uitgevoerde, onbekende of geplande activiteiten.</w:t>
            </w:r>
          </w:p>
        </w:tc>
      </w:tr>
      <w:tr>
        <w:tc>
          <w:tcPr>
            <w:tcW w:type="dxa" w:w="3080"/>
          </w:tcPr>
          <w:p>
            <w:pPr>
              <w:pStyle w:val="Compact"/>
              <w:spacing w:before="0" w:after="0"/>
            </w:pPr>
            <w:r>
              <w:rPr>
                <w:rStyle w:val="VerbatimChar"/>
                <w:sz w:val="15"/>
              </w:rPr>
              <w:t xml:space="preserve">maatregel_uitvoering_jaar</w:t>
            </w:r>
          </w:p>
        </w:tc>
        <w:tc>
          <w:tcPr>
            <w:tcW w:type="dxa" w:w="993"/>
          </w:tcPr>
          <w:p>
            <w:pPr>
              <w:pStyle w:val="Compact"/>
              <w:spacing w:before="0" w:after="0"/>
              <w:jc w:val="right"/>
            </w:pPr>
            <w:r>
              <w:rPr>
                <w:sz w:val="15"/>
              </w:rPr>
              <w:t xml:space="preserve">58</w:t>
            </w:r>
          </w:p>
        </w:tc>
        <w:tc>
          <w:tcPr>
            <w:tcW w:type="dxa" w:w="5862"/>
          </w:tcPr>
          <w:p>
            <w:pPr>
              <w:pStyle w:val="Compact"/>
              <w:spacing w:before="0" w:after="0"/>
            </w:pPr>
            <w:r>
              <w:rPr>
                <w:sz w:val="15"/>
              </w:rPr>
              <w:t xml:space="preserve">Letterlijk onderbouwde jaarstatussen uit 1988–2025: 42 uitgevoerd, 9 niet uitgevoerd en 7 onbekend.</w:t>
            </w:r>
          </w:p>
        </w:tc>
      </w:tr>
      <w:tr>
        <w:tc>
          <w:tcPr>
            <w:tcW w:type="dxa" w:w="3080"/>
          </w:tcPr>
          <w:p>
            <w:pPr>
              <w:pStyle w:val="Compact"/>
              <w:spacing w:before="0" w:after="0"/>
            </w:pPr>
            <w:r>
              <w:rPr>
                <w:rStyle w:val="VerbatimChar"/>
                <w:sz w:val="15"/>
              </w:rPr>
              <w:t xml:space="preserve">maatregel_uitvoering_bron</w:t>
            </w:r>
          </w:p>
        </w:tc>
        <w:tc>
          <w:tcPr>
            <w:tcW w:type="dxa" w:w="993"/>
          </w:tcPr>
          <w:p>
            <w:pPr>
              <w:pStyle w:val="Compact"/>
              <w:spacing w:before="0" w:after="0"/>
              <w:jc w:val="right"/>
            </w:pPr>
            <w:r>
              <w:rPr>
                <w:sz w:val="15"/>
              </w:rPr>
              <w:t>40</w:t>
            </w:r>
          </w:p>
        </w:tc>
        <w:tc>
          <w:tcPr>
            <w:tcW w:type="dxa" w:w="5862"/>
          </w:tcPr>
          <w:p>
            <w:pPr>
              <w:pStyle w:val="Compact"/>
              <w:spacing w:before="0" w:after="0"/>
            </w:pPr>
            <w:r>
              <w:rPr>
                <w:sz w:val="15"/>
              </w:rPr>
              <w:t>Relaties tussen uitvoering en bewijsbron, met bronrol en bewijsnotitie.</w:t>
            </w:r>
          </w:p>
        </w:tc>
      </w:tr>
      <w:tr>
        <w:tc>
          <w:tcPr>
            <w:tcW w:type="dxa" w:w="3080"/>
          </w:tcPr>
          <w:p>
            <w:pPr>
              <w:pStyle w:val="Compact"/>
              <w:spacing w:before="0" w:after="0"/>
            </w:pPr>
            <w:r>
              <w:rPr>
                <w:rStyle w:val="VerbatimChar"/>
                <w:sz w:val="15"/>
              </w:rPr>
              <w:t xml:space="preserve">maatregel_geometrie</w:t>
            </w:r>
          </w:p>
        </w:tc>
        <w:tc>
          <w:tcPr>
            <w:tcW w:type="dxa" w:w="993"/>
          </w:tcPr>
          <w:p>
            <w:pPr>
              <w:pStyle w:val="Compact"/>
              <w:spacing w:before="0" w:after="0"/>
              <w:jc w:val="right"/>
            </w:pPr>
            <w:r>
              <w:rPr>
                <w:sz w:val="15"/>
              </w:rPr>
              <w:t xml:space="preserve">0</w:t>
            </w:r>
          </w:p>
        </w:tc>
        <w:tc>
          <w:tcPr>
            <w:tcW w:type="dxa" w:w="5862"/>
          </w:tcPr>
          <w:p>
            <w:pPr>
              <w:pStyle w:val="Compact"/>
              <w:spacing w:before="0" w:after="0"/>
            </w:pPr>
            <w:r>
              <w:rPr>
                <w:sz w:val="15"/>
              </w:rPr>
              <w:t xml:space="preserve">Alleen voor later verkregen, bronvaste geometrieën in RD New.</w:t>
            </w:r>
          </w:p>
        </w:tc>
      </w:tr>
      <w:tr>
        <w:tc>
          <w:tcPr>
            <w:tcW w:type="dxa" w:w="3080"/>
          </w:tcPr>
          <w:p>
            <w:pPr>
              <w:pStyle w:val="Compact"/>
              <w:spacing w:before="0" w:after="0"/>
            </w:pPr>
            <w:r>
              <w:rPr>
                <w:rStyle w:val="VerbatimChar"/>
                <w:sz w:val="15"/>
              </w:rPr>
              <w:t xml:space="preserve">plot_gebied</w:t>
            </w:r>
          </w:p>
        </w:tc>
        <w:tc>
          <w:tcPr>
            <w:tcW w:type="dxa" w:w="993"/>
          </w:tcPr>
          <w:p>
            <w:pPr>
              <w:pStyle w:val="Compact"/>
              <w:spacing w:before="0" w:after="0"/>
              <w:jc w:val="right"/>
            </w:pPr>
            <w:r>
              <w:rPr>
                <w:sz w:val="15"/>
              </w:rPr>
              <w:t xml:space="preserve">8</w:t>
            </w:r>
          </w:p>
        </w:tc>
        <w:tc>
          <w:tcPr>
            <w:tcW w:type="dxa" w:w="5862"/>
          </w:tcPr>
          <w:p>
            <w:pPr>
              <w:pStyle w:val="Compact"/>
              <w:spacing w:before="0" w:after="0"/>
            </w:pPr>
            <w:r>
              <w:rPr>
                <w:sz w:val="15"/>
              </w:rPr>
              <w:t xml:space="preserve">Vijf Meijendel-deelgebieden en drie speciale gebieden.</w:t>
            </w:r>
          </w:p>
        </w:tc>
      </w:tr>
      <w:tr>
        <w:tc>
          <w:tcPr>
            <w:tcW w:type="dxa" w:w="3080"/>
          </w:tcPr>
          <w:p>
            <w:pPr>
              <w:pStyle w:val="Compact"/>
              <w:spacing w:before="0" w:after="0"/>
            </w:pPr>
            <w:r>
              <w:rPr>
                <w:rStyle w:val="VerbatimChar"/>
                <w:sz w:val="15"/>
              </w:rPr>
              <w:t xml:space="preserve">plot_gebiedsindeling</w:t>
            </w:r>
          </w:p>
        </w:tc>
        <w:tc>
          <w:tcPr>
            <w:tcW w:type="dxa" w:w="993"/>
          </w:tcPr>
          <w:p>
            <w:pPr>
              <w:pStyle w:val="Compact"/>
              <w:spacing w:before="0" w:after="0"/>
              <w:jc w:val="right"/>
            </w:pPr>
            <w:r>
              <w:rPr>
                <w:sz w:val="15"/>
              </w:rPr>
              <w:t xml:space="preserve">1</w:t>
            </w:r>
          </w:p>
        </w:tc>
        <w:tc>
          <w:tcPr>
            <w:tcW w:type="dxa" w:w="5862"/>
          </w:tcPr>
          <w:p>
            <w:pPr>
              <w:pStyle w:val="Compact"/>
              <w:spacing w:before="0" w:after="0"/>
            </w:pPr>
            <w:r>
              <w:rPr>
                <w:sz w:val="15"/>
              </w:rPr>
              <w:t xml:space="preserve">Vastgestelde indeling</w:t>
            </w:r>
            <w:r>
              <w:rPr>
                <w:sz w:val="15"/>
              </w:rPr>
              <w:t xml:space="preserve"> </w:t>
            </w:r>
            <w:r>
              <w:rPr>
                <w:rStyle w:val="VerbatimChar"/>
                <w:sz w:val="15"/>
              </w:rPr>
              <w:t xml:space="preserve">vogelplot-gebiedsindeling-v1</w:t>
            </w:r>
            <w:r>
              <w:rPr>
                <w:sz w:val="15"/>
              </w:rPr>
              <w:t xml:space="preserve">, gekoppeld aan SOVON-plotversie 2025.</w:t>
            </w:r>
          </w:p>
        </w:tc>
      </w:tr>
      <w:tr>
        <w:tc>
          <w:tcPr>
            <w:tcW w:type="dxa" w:w="3080"/>
          </w:tcPr>
          <w:p>
            <w:pPr>
              <w:pStyle w:val="Compact"/>
              <w:spacing w:before="0" w:after="0"/>
            </w:pPr>
            <w:r>
              <w:rPr>
                <w:rStyle w:val="VerbatimChar"/>
                <w:sz w:val="15"/>
              </w:rPr>
              <w:t xml:space="preserve">plot_gebied_lidmaatschap</w:t>
            </w:r>
          </w:p>
        </w:tc>
        <w:tc>
          <w:tcPr>
            <w:tcW w:type="dxa" w:w="993"/>
          </w:tcPr>
          <w:p>
            <w:pPr>
              <w:pStyle w:val="Compact"/>
              <w:spacing w:before="0" w:after="0"/>
              <w:jc w:val="right"/>
            </w:pPr>
            <w:r>
              <w:rPr>
                <w:sz w:val="15"/>
              </w:rPr>
              <w:t xml:space="preserve">69</w:t>
            </w:r>
          </w:p>
        </w:tc>
        <w:tc>
          <w:tcPr>
            <w:tcW w:type="dxa" w:w="5862"/>
          </w:tcPr>
          <w:p>
            <w:pPr>
              <w:pStyle w:val="Compact"/>
              <w:spacing w:before="0" w:after="0"/>
            </w:pPr>
            <w:r>
              <w:rPr>
                <w:sz w:val="15"/>
              </w:rPr>
              <w:t xml:space="preserve">Alle 55 actuele en 14 historische plots hebben precies één gebied.</w:t>
            </w:r>
          </w:p>
        </w:tc>
      </w:tr>
      <w:tr>
        <w:tc>
          <w:tcPr>
            <w:tcW w:type="dxa" w:w="3080"/>
          </w:tcPr>
          <w:p>
            <w:pPr>
              <w:pStyle w:val="Compact"/>
              <w:spacing w:before="0" w:after="0"/>
            </w:pPr>
            <w:r>
              <w:rPr>
                <w:rStyle w:val="VerbatimChar"/>
                <w:sz w:val="15"/>
              </w:rPr>
              <w:t xml:space="preserve">plot_gebied_geometrie</w:t>
            </w:r>
          </w:p>
        </w:tc>
        <w:tc>
          <w:tcPr>
            <w:tcW w:type="dxa" w:w="993"/>
          </w:tcPr>
          <w:p>
            <w:pPr>
              <w:pStyle w:val="Compact"/>
              <w:spacing w:before="0" w:after="0"/>
              <w:jc w:val="right"/>
            </w:pPr>
            <w:r>
              <w:rPr>
                <w:sz w:val="15"/>
              </w:rPr>
              <w:t xml:space="preserve">8</w:t>
            </w:r>
          </w:p>
        </w:tc>
        <w:tc>
          <w:tcPr>
            <w:tcW w:type="dxa" w:w="5862"/>
          </w:tcPr>
          <w:p>
            <w:pPr>
              <w:pStyle w:val="Compact"/>
              <w:spacing w:before="0" w:after="0"/>
            </w:pPr>
            <w:r>
              <w:rPr>
                <w:sz w:val="15"/>
              </w:rPr>
              <w:t xml:space="preserve">Topologisch samengevoegde actuele kavelgeometrieën in RD New; samen afgeleid uit 55 plots.</w:t>
            </w:r>
          </w:p>
        </w:tc>
      </w:tr>
      <w:tr>
        <w:tc>
          <w:tcPr>
            <w:tcW w:type="dxa" w:w="3080"/>
          </w:tcPr>
          <w:p>
            <w:pPr>
              <w:pStyle w:val="Compact"/>
              <w:spacing w:before="0" w:after="0"/>
            </w:pPr>
            <w:r>
              <w:rPr>
                <w:rStyle w:val="VerbatimChar"/>
                <w:sz w:val="15"/>
              </w:rPr>
              <w:t xml:space="preserve">maatregel_uitvoering_gebied</w:t>
            </w:r>
          </w:p>
        </w:tc>
        <w:tc>
          <w:tcPr>
            <w:tcW w:type="dxa" w:w="993"/>
          </w:tcPr>
          <w:p>
            <w:pPr>
              <w:pStyle w:val="Compact"/>
              <w:spacing w:before="0" w:after="0"/>
              <w:jc w:val="right"/>
            </w:pPr>
            <w:r>
              <w:rPr>
                <w:sz w:val="15"/>
              </w:rPr>
              <w:t xml:space="preserve">1</w:t>
            </w:r>
          </w:p>
        </w:tc>
        <w:tc>
          <w:tcPr>
            <w:tcW w:type="dxa" w:w="5862"/>
          </w:tcPr>
          <w:p>
            <w:pPr>
              <w:pStyle w:val="Compact"/>
              <w:spacing w:before="0" w:after="0"/>
            </w:pPr>
            <w:r>
              <w:rPr>
                <w:sz w:val="15"/>
              </w:rPr>
              <w:t xml:space="preserve">Voorlinden als gevalideerde gebiedsrelatie van uitvoering</w:t>
            </w:r>
            <w:r>
              <w:rPr>
                <w:sz w:val="15"/>
              </w:rPr>
              <w:t xml:space="preserve"> </w:t>
            </w:r>
            <w:r>
              <w:rPr>
                <w:rStyle w:val="VerbatimChar"/>
                <w:sz w:val="15"/>
              </w:rPr>
              <w:t xml:space="preserve">pas_24c_voorlinden</w:t>
            </w:r>
            <w:r>
              <w:rPr>
                <w:sz w:val="15"/>
              </w:rPr>
              <w:t xml:space="preserve">.</w:t>
            </w:r>
          </w:p>
        </w:tc>
      </w:tr>
      <w:tr>
        <w:tc>
          <w:tcPr>
            <w:tcW w:type="dxa" w:w="3080"/>
          </w:tcPr>
          <w:p>
            <w:pPr>
              <w:pStyle w:val="Compact"/>
              <w:spacing w:before="0" w:after="0"/>
            </w:pPr>
            <w:r>
              <w:rPr>
                <w:rStyle w:val="VerbatimChar"/>
                <w:sz w:val="15"/>
              </w:rPr>
              <w:t xml:space="preserve">maatregel_plot_koppeling</w:t>
            </w:r>
          </w:p>
        </w:tc>
        <w:tc>
          <w:tcPr>
            <w:tcW w:type="dxa" w:w="993"/>
          </w:tcPr>
          <w:p>
            <w:pPr>
              <w:pStyle w:val="Compact"/>
              <w:spacing w:before="0" w:after="0"/>
              <w:jc w:val="right"/>
            </w:pPr>
            <w:r>
              <w:rPr>
                <w:sz w:val="15"/>
              </w:rPr>
              <w:t>3</w:t>
            </w:r>
          </w:p>
        </w:tc>
        <w:tc>
          <w:tcPr>
            <w:tcW w:type="dxa" w:w="5862"/>
          </w:tcPr>
          <w:p>
            <w:pPr>
              <w:pStyle w:val="Compact"/>
              <w:spacing w:before="0" w:after="0"/>
            </w:pPr>
            <w:r>
              <w:rPr>
                <w:sz w:val="15"/>
              </w:rPr>
              <w:t>Voorlinden gekoppeld aan M91 en Pan 13 aan M2 en M3; de bronnen geven geen doorsnijdingspercentage per plot.</w:t>
            </w:r>
          </w:p>
        </w:tc>
      </w:tr>
      <w:tr>
        <w:tc>
          <w:tcPr>
            <w:tcW w:type="dxa" w:w="3080"/>
          </w:tcPr>
          <w:p>
            <w:pPr>
              <w:pStyle w:val="Compact"/>
              <w:spacing w:before="0" w:after="0"/>
            </w:pPr>
            <w:r>
              <w:rPr>
                <w:rStyle w:val="VerbatimChar"/>
                <w:sz w:val="15"/>
              </w:rPr>
              <w:t xml:space="preserve">v_plot_gebied_actueel</w:t>
            </w:r>
          </w:p>
        </w:tc>
        <w:tc>
          <w:tcPr>
            <w:tcW w:type="dxa" w:w="993"/>
          </w:tcPr>
          <w:p>
            <w:pPr>
              <w:pStyle w:val="Compact"/>
              <w:spacing w:before="0" w:after="0"/>
              <w:jc w:val="right"/>
            </w:pPr>
            <w:r>
              <w:rPr>
                <w:sz w:val="15"/>
              </w:rPr>
              <w:t xml:space="preserve">69</w:t>
            </w:r>
          </w:p>
        </w:tc>
        <w:tc>
          <w:tcPr>
            <w:tcW w:type="dxa" w:w="5862"/>
          </w:tcPr>
          <w:p>
            <w:pPr>
              <w:pStyle w:val="Compact"/>
              <w:spacing w:before="0" w:after="0"/>
            </w:pPr>
            <w:r>
              <w:rPr>
                <w:sz w:val="15"/>
              </w:rPr>
              <w:t xml:space="preserve">Actuele leeslaag van de volledige vastgestelde gebiedsindeling.</w:t>
            </w:r>
          </w:p>
        </w:tc>
      </w:tr>
      <w:tr>
        <w:tc>
          <w:tcPr>
            <w:tcW w:type="dxa" w:w="3080"/>
          </w:tcPr>
          <w:p>
            <w:pPr>
              <w:pStyle w:val="Compact"/>
              <w:spacing w:before="0" w:after="0"/>
            </w:pPr>
            <w:r>
              <w:rPr>
                <w:rStyle w:val="VerbatimChar"/>
                <w:sz w:val="15"/>
              </w:rPr>
              <w:t xml:space="preserve">v_plot_gebied_geometrie_actueel</w:t>
            </w:r>
          </w:p>
        </w:tc>
        <w:tc>
          <w:tcPr>
            <w:tcW w:type="dxa" w:w="993"/>
          </w:tcPr>
          <w:p>
            <w:pPr>
              <w:pStyle w:val="Compact"/>
              <w:spacing w:before="0" w:after="0"/>
              <w:jc w:val="right"/>
            </w:pPr>
            <w:r>
              <w:rPr>
                <w:sz w:val="15"/>
              </w:rPr>
              <w:t xml:space="preserve">8</w:t>
            </w:r>
          </w:p>
        </w:tc>
        <w:tc>
          <w:tcPr>
            <w:tcW w:type="dxa" w:w="5862"/>
          </w:tcPr>
          <w:p>
            <w:pPr>
              <w:pStyle w:val="Compact"/>
              <w:spacing w:before="0" w:after="0"/>
            </w:pPr>
            <w:r>
              <w:rPr>
                <w:sz w:val="15"/>
              </w:rPr>
              <w:t xml:space="preserve">Actuele leeslaag van de afgeleide gebiedsgeometrieën.</w:t>
            </w:r>
          </w:p>
        </w:tc>
      </w:tr>
      <w:tr>
        <w:tc>
          <w:tcPr>
            <w:tcW w:type="dxa" w:w="3080"/>
          </w:tcPr>
          <w:p>
            <w:pPr>
              <w:pStyle w:val="Compact"/>
              <w:spacing w:before="0" w:after="0"/>
            </w:pPr>
            <w:r>
              <w:rPr>
                <w:rStyle w:val="VerbatimChar"/>
                <w:sz w:val="15"/>
              </w:rPr>
              <w:t xml:space="preserve">v_plot_jaar_maatregel_bronvast</w:t>
            </w:r>
          </w:p>
        </w:tc>
        <w:tc>
          <w:tcPr>
            <w:tcW w:type="dxa" w:w="993"/>
          </w:tcPr>
          <w:p>
            <w:pPr>
              <w:pStyle w:val="Compact"/>
              <w:spacing w:before="0" w:after="0"/>
              <w:jc w:val="right"/>
            </w:pPr>
            <w:r>
              <w:rPr>
                <w:sz w:val="15"/>
              </w:rPr>
              <w:t>4</w:t>
            </w:r>
          </w:p>
        </w:tc>
        <w:tc>
          <w:tcPr>
            <w:tcW w:type="dxa" w:w="5862"/>
          </w:tcPr>
          <w:p>
            <w:pPr>
              <w:pStyle w:val="Compact"/>
              <w:spacing w:before="0" w:after="0"/>
            </w:pPr>
            <w:r>
              <w:rPr>
                <w:sz w:val="15"/>
              </w:rPr>
              <w:t>Pan 13 in M2 en M3 voor de uitgevoerde jaren 1988 en 1989.</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inhoud en checksum zijn bij de migratie onveranderd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32" w:name="_c4d8e63f8d951db14c31b0e8e0c5017e65b09fe"/>
      <w:r>
        <w:t xml:space="preserve">Website dashboard en Shiny beschermen</w:t>
      </w:r>
      <w:bookmarkEnd w:id="32"/>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33" w:name="_ea82a111b7c3651db8ff74dc66ba0e01efd62c3"/>
      <w:r>
        <w:t xml:space="preserve">Veilige uitvoervolgorde</w:t>
      </w:r>
      <w:bookmarkEnd w:id="33"/>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34" w:name="_b3cd443c91657a82ff5685c38edcf4074cc84d4"/>
      <w:r>
        <w:t xml:space="preserve">Onderbouwing en grenzen</w:t>
      </w:r>
      <w:bookmarkEnd w:id="34"/>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35" w:name="_3a68ce2518fa2826494f15f4a6805cb1b04675a"/>
      <w:r>
        <w:t xml:space="preserve">Bijlage huidige tabellen en bestemmingsrichting</w:t>
      </w:r>
      <w:bookmarkEnd w:id="35"/>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36" w:name="_soortgroepindexen"/>
      <w:r>
        <w:t xml:space="preserve">Soortgroepindexen</w:t>
      </w:r>
      <w:bookmarkEnd w:id="36"/>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37" w:name="_838a18ce0b533c97d695ebd40dd69953293f02c"/>
      <w:r>
        <w:t xml:space="preserve">Soortgerichte meetstructuren</w:t>
      </w:r>
      <w:bookmarkEnd w:id="3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8" w:name="_2baa1da6f22113d9423ee4dc7af355a1ce47c05"/>
      <w:r>
        <w:t xml:space="preserve">Gemengde meetstructuren</w:t>
      </w:r>
      <w:bookmarkEnd w:id="3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9" w:name="_14846e86e28e8459535aa911b0f197b64d80892"/>
      <w:r>
        <w:t xml:space="preserve">Gedeelde bron en beslislaag</w:t>
      </w:r>
      <w:bookmarkEnd w:id="3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40" w:name="_eb9d07d4c7efe67c7c4989c4204cb609d72fc87"/>
      <w:r>
        <w:t xml:space="preserve">Externe ecologie</w:t>
      </w:r>
      <w:bookmarkEnd w:id="4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41" w:name="_vangblik"/>
      <w:r>
        <w:t xml:space="preserve">Vangblik</w:t>
      </w:r>
      <w:bookmarkEnd w:id="4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42" w:name="_pq"/>
      <w:r>
        <w:t xml:space="preserve">PQ</w:t>
      </w:r>
      <w:bookmarkEnd w:id="4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erReference w:type="default" r:id="rId9"/>
      <w:pgSz w:w="12240" w:h="15840"/>
      <w:pgMar w:top="1008" w:right="1152" w:bottom="936" w:left="1152" w:header="720" w:footer="403"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Meijendel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2026-10-13T18:56:13Z</dcterms:created>
  <dcterms:modified xsi:type="dcterms:W3CDTF">2026-10-13T18:56:13Z</dcterms:modified>
</cp:coreProperties>
</file>

<file path=docProps/custom.xml><?xml version="1.0" encoding="utf-8"?>
<Properties xmlns="http://schemas.openxmlformats.org/officeDocument/2006/custom-properties" xmlns:vt="http://schemas.openxmlformats.org/officeDocument/2006/docPropsVTypes"/>
</file>