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16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gelijknamige leesview reconstrueert de oorspronkelijke 144 regels; de fysieke tabel is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zijn verwijderd. Hun namen plot_jaar_maatregel, plot_jaar_toegankelijkheid en plot_jaar_toegankelijkheid_deel blijven alleen-lezen compatibiliteitsviews, met respectievelijk 144, 55 en nul regels.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gebruiken dezelfde gereconstrueerde registraties. De SQL-dumpparser leest de nieuwe basistabellen en maakt de oude gegevensobjecten via één R-adapter; parser/cacheversie is 14. Een nieuw schema zonder afgeronde compatibiliteitsviews blokkeert de parser.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