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De levende lokale database bevat naast de bestaande classificatie een afzonderlijke laag voor projecten, feitelijke of geplande uitvoeringen, expliciete jaarstatussen en bewijsbronnen. Op 14 oktober 2026 is deze laag aangevuld na controle van alle 807 actieve Zotero-bijlagen. De classificatietabellen maatregelen en maatregelen_kernwoorden blijven bestaan. plot_jaar_maatregel is op 16 oktober 2026 vervangen door een alleen-lezen compatibiliteitsview vanuit de centrale registratiestructuur. De vier algemene kernwoorden voor recreatiebeheer zijn onder de nieuwe hoofdklasse rust_en_recreatiebeheer geplaatst; strandreservaat blijft als specifiek kernwoord onder strandreservaten 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r>
              <w:t>44</w:t>
            </w:r>
          </w:p>
        </w:tc>
        <w:tc>
          <w:tcPr/>
          <w:p>
            <w:pPr>
              <w:pStyle w:val="Compact"/>
            </w:pPr>
            <w:r>
              <w:t xml:space="preserve">28 lokaal geraadpleegde Zotero-bronnen en vijftien officiële of institutionele internetbronnen, ieder met type, datum, status en raadpleegdatum.</w:t>
            </w:r>
            <w:r>
              <w:t xml:space="preserve"> </w:t>
            </w:r>
            <w:r>
              <w:rPr>
                <w:i/>
                <w:iCs/>
              </w:rPr>
              <w:t xml:space="preserve">Holland’s Duinen</w:t>
            </w:r>
            <w:r>
              <w:t xml:space="preserve"> </w:t>
            </w:r>
            <w:r>
              <w:t xml:space="preserve">63 en 64 en HAR 1204 onderbouwen de plaggebieden Elleboogsprang, Helmduinen, Vinkenhoek en Meeuwenduin.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99</w:t>
            </w:r>
          </w:p>
        </w:tc>
        <w:tc>
          <w:tcPr/>
          <w:p>
            <w:pPr>
              <w:pStyle w:val="Compact"/>
            </w:pPr>
            <w:r>
              <w:t xml:space="preserve">Relaties tussen uitvoering en bewijsbron, met bronrol en bewijsnotitie. De PIM-winputten verwijzen voor ruimtelijke plancontext naar HAR 1306. De plagwerkzaamheden verwijzen aanvullend naar</w:t>
            </w:r>
            <w:r>
              <w:t xml:space="preserve"> </w:t>
            </w:r>
            <w:r>
              <w:rPr>
                <w:i/>
                <w:iCs/>
              </w:rPr>
              <w:t xml:space="preserve">Holland’s Duinen</w:t>
            </w:r>
            <w:r>
              <w:t xml:space="preserve"> </w:t>
            </w:r>
            <w:r>
              <w:t xml:space="preserve">63 en 64 en HAR 1204.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211</w:t>
            </w:r>
          </w:p>
        </w:tc>
        <w:tc>
          <w:tcPr/>
          <w:p>
            <w:pPr>
              <w:pStyle w:val="Compact"/>
            </w:pPr>
            <w:r>
              <w:t xml:space="preserve">De programmabrede plagwerkzaamheden zijn gekoppeld aan acht unieke kavels: M10-12-76, M12a, M15, M16, M71, M73, M74 en M75. Elleboogsprang raakt M10-12-76 en M75; Vinkenhoek ligt in M71. 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De PIM-winputten hebben 22 relaties: M1a, M1b, M3, M6, M10-12-76, M12a, M14, M15, M16, M16s, M17a, M17b, M31, M32, M33, M36, M41, M43, M45, M55, M62 en M83. Het nabeheer van de vijf kerven in 2016 en 2024 is gekoppeld aan M16 en M17a. De aanleg van de vijf kerven in 2014 en 2015 is gekoppeld aan M15, M16 en M17a; de 109.434 m² is niet per kavel of jaar verdeeld.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307</w:t>
            </w:r>
          </w:p>
        </w:tc>
        <w:tc>
          <w:tcPr/>
          <w:p>
            <w:pPr>
              <w:pStyle w:val="Compact"/>
            </w:pPr>
            <w:r>
              <w:t xml:space="preserve">Bronvaste plot-jaarregels voor 1967–1969, 1972–1975, 1988–1991, 1993, 1997, 2002, 2005–2006 en 2013–2025. De programmabrede plagwerkzaamheden leveren acht scoperegels voor 2018; de bron verdeelt de bijna 40 hectare en 100.000 m³ zand niet per gebied of kavel.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 De PIM-winputten leveren 22 scoperegels voor 2018; het programmatotaal van bijna 700 putten is niet per kavel verdeeld. Het kervennabeheer levert vier scoperegels: M16 en M17a in 2016 en 2024. De aanleg van de vijf kerven levert zes gezamenlijke scoperegels: M15, M16 en M17a in 2014 en 2015.</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Voor de programmabrede plagwerkzaamheden zijn de contouren uit HAR 1204 met de gepubliceerde schaal en RD-kilometerhokken op de actuele kavelgeometrie gelegd. Dit lokaliseert Elleboogsprang in M10-12-76 en M75 en Vinkenhoek in M71. De gereconstrueerde Vinkenhoek-contour is circa 8,3 hectare, tegenover circa 8 hectare in de publicatie. De kaart is voldoende voor kaveltoedeling, maar niet voor een exact uitvoeringspercentage. Daarom blijven</w:t>
      </w:r>
      <w:r>
        <w:t xml:space="preserve"> </w:t>
      </w:r>
      <w:r>
        <w:rPr>
          <w:rStyle w:val="VerbatimChar"/>
        </w:rPr>
        <w:t xml:space="preserve">maatregel_geometrie</w:t>
      </w:r>
      <w:r>
        <w:t xml:space="preserve"> </w:t>
      </w:r>
      <w:r>
        <w:t xml:space="preserve">en alle acht</w:t>
      </w:r>
      <w:r>
        <w:t xml:space="preserve"> </w:t>
      </w:r>
      <w:r>
        <w:rPr>
          <w:rStyle w:val="VerbatimChar"/>
        </w:rPr>
        <w:t xml:space="preserve">doorsnijding_pct</w:t>
      </w:r>
      <w:r>
        <w:t xml:space="preserve">-waarden leeg.</w:t>
      </w:r>
    </w:p>
    <w:p>
      <w:pPr>
        <w:pStyle w:val="BodyText"/>
      </w:pPr>
      <w:r>
        <w:t xml:space="preserve">De PIM-winputten zijn met afbeelding 1 en bijlage 2 van HAR 1306 ruimtelijk beoordeeld. De twintig duidelijke doorsnijdingen en de door Ton bevestigde grensdoorsnijdingen M16 en M62 leveren samen 22 unieke kavelrelaties. M10-12-76 wordt één keer gekoppeld, hoewel zowel serie HH als de rand van serie WW deze kavel raakt. HAR 1306 is plancontext; Dunea bevestigt afzonderlijk de afronding van bijna 700 nieuwe putten in 2018. Zonder afzonderlijke putpunten of verdeling per serie blijven</w:t>
      </w:r>
      <w:r>
        <w:t xml:space="preserve"> </w:t>
      </w:r>
      <w:r>
        <w:rPr>
          <w:rStyle w:val="VerbatimChar"/>
        </w:rPr>
        <w:t xml:space="preserve">maatregel_geometrie</w:t>
      </w:r>
      <w:r>
        <w:t xml:space="preserve"> </w:t>
      </w:r>
      <w:r>
        <w:t xml:space="preserve">en alle 22</w:t>
      </w:r>
      <w:r>
        <w:t xml:space="preserve"> </w:t>
      </w:r>
      <w:r>
        <w:rPr>
          <w:rStyle w:val="VerbatimChar"/>
        </w:rPr>
        <w:t xml:space="preserve">doorsnijding_pct</w:t>
      </w:r>
      <w:r>
        <w:t xml:space="preserve">-waarden leeg.</w:t>
      </w:r>
    </w:p>
    <w:p>
      <w:pPr>
        <w:pStyle w:val="BodyText"/>
      </w:pPr>
      <w:r>
        <w:t xml:space="preserve">Het ontwerpbeheerplan bevestigt het nabeheer van de Meijendelse kerven en stuifkuilen in 2016 en 2024. De publicatie uit 2017 lokaliseert de vijf bestaande kerven in de uitgevoerde zuidelijke zone van 750 meter ten zuiden van de bunker bij het Parnassiapad, maar vermeldt dat tot het voorjaar van 2017 nog geen nabeheer nodig was. Die publicatie heeft voor deze uitvoering daarom de rol</w:t>
      </w:r>
      <w:r>
        <w:t xml:space="preserve"> </w:t>
      </w:r>
      <w:r>
        <w:rPr>
          <w:rStyle w:val="VerbatimChar"/>
        </w:rPr>
        <w:t xml:space="preserve">plancontext</w:t>
      </w:r>
      <w:r>
        <w:t xml:space="preserve">. Vergelijking van deze ligging met de gereconstrueerde Parnassiapad-route en de actuele plotgeometrie, gevolgd door Tons bevestiging op 16 oktober 2026, koppelt het nabeheer aan M16 en M17a. De werkvoetafdruk per jaar is niet gepubliceerd; beide</w:t>
      </w:r>
      <w:r>
        <w:t xml:space="preserve"> </w:t>
      </w:r>
      <w:r>
        <w:rPr>
          <w:rStyle w:val="VerbatimChar"/>
        </w:rPr>
        <w:t xml:space="preserve">doorsnijding_pct</w:t>
      </w:r>
      <w:r>
        <w:t xml:space="preserve">-waarden blijven leeg.</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De historische dashboardlaag reconstrueert 144 begrazingsregels voor 16 plots uit 1991–1999 vanuit 139 aanvullende jaarfeiten en vijf bestaande uitvoeringsfeiten. De oorspronkelijke checksum 306480715648 beschrijft de verwijderde fysieke tabel; de nieuwe rijvergelijking bewijst inhoudsbehoud. Overgenomen handmatige registraties worden niet achteraf als onafhankelijk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zijn verwijderd. Hun namen plot_jaar_maatregel, plot_jaar_toegankelijkheid en plot_jaar_toegankelijkheid_deel blijven alleen-lezen compatibiliteitsviews, met respectievelijk 144, 55 en nul regels.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gebruiken dezelfde gereconstrueerde registraties. De SQL-dumpparser leest de nieuwe basistabellen en maakt de oude gegevensobjecten via één R-adapter; parser/cacheversie is 14. Een nieuw schema zonder afgeronde compatibiliteitsviews blokkeert de parser.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