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r>
        <w:t xml:space="preserve"> 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 xml:space="preserve">Bronbericht provincie, vastgelegd 19 oktober 2026. </w:t>
      </w:r>
      <w:r>
        <w:t>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Primaire BLWG-bron, aangevuld 23 oktober 2026.</w:t>
      </w:r>
      <w:r/>
      <w:r/>
      <w:r/>
      <w:r>
        <w:rPr>
          <w:rStyle w:val="VerbatimChar"/>
        </w:rPr>
      </w:r>
      <w:r/>
      <w:r>
        <w:t xml:space="preserve"> De tweede Excel-levering bevat twaalf plots, 44 afzonderlijke telformulieren met een eigen kopid 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 Kwantiteit bevat de klassen 1, 2, 3, 5 en 6. Gebruik voor analyses de velddatum; het rapportagejaar ligt bij de toegevoegde formulieren uit 2015 en 2018 telkens één jaar eerder.</w:t>
      </w:r>
    </w:p>
    <w:p>
      <w:pPr>
        <w:pStyle w:val="BodyText"/>
      </w:pPr>
      <w:r>
        <w:rPr>
          <w:b/>
          <w:bCs/>
        </w:rPr>
        <w:t>Vergelijking met NDFF.</w:t>
      </w:r>
      <w:r/>
      <w:r/>
      <w:r/>
      <w:r>
        <w:rPr>
          <w:i/>
          <w:iCs/>
        </w:rPr>
      </w:r>
      <w:r/>
      <w:r/>
      <w:r>
        <w:t xml:space="preserve"> De 384 BLWG-bronregels en 384 NDFF-regels onder protocol 02.202 komen in aantal overeen; de zes nageleverde locaties verklaren de eerdere numerieke kloof van 92 regels. Voor de eerste levering waren 269 van 292 BLWG-soortregels rechtstreeks gematcht op plot, velddatum en soortnaam; twintig betroffen de openbaar vervaagde Usnea articulata en drie een andere wetenschappelijke naam. De 92 nageleverde regels zijn nog niet één voor één met NDFF-identiteiten vergeleken. kopid onderscheidt onafhankelijke waarnemerslijsten, maar een rechtstreekse NDFF-identiteit ontbreekt. De twintig vervaagde regels en precieze plotlocaties mogen niet in openbare afgeleide tabellen terechtkomen. De bron is nog niet geïmporteerd.</w:t>
      </w:r>
    </w:p>
    <w:p>
      <w:pPr>
        <w:pStyle w:val="BodyText"/>
      </w:pPr>
      <w:r>
        <w:rPr>
          <w:b/>
          <w:bCs/>
        </w:rPr>
        <w:t>Wat kan nu?</w:t>
      </w:r>
      <w:r/>
      <w:r/>
      <w:r>
        <w:t xml:space="preserve"> De vier vaste korstmossenplots vormen dankzij de primaire plot-, bezoek- en waarnemerslijsten een veel betere kandidaat voor lokale analyse van aanwezigheid en ordinale bedekking over zes meetronden. Dit is nog geen gebiedsbrede populatietrend of bewijs voor een beheereffect. De acht eenmalige locaties leveren momentopnamen, geen eigen trend. Het mossendeel blijft bruikbaar als zeven kilometerhokinventarisaties, niet als zelfstandige lokale tijdreeks.</w:t>
      </w:r>
    </w:p>
    <w:p>
      <w:pPr>
        <w:pStyle w:val="BodyText"/>
      </w:pPr>
      <w:r>
        <w:rPr>
          <w:b/>
          <w:bCs/>
        </w:rPr>
        <w:t>Wat ontbreekt nog?</w:t>
      </w:r>
      <w:r/>
      <w:r/>
      <w:r>
        <w:t xml:space="preserve"> De Excel-levering bevat geen expliciete volledigheidsstatus, nulsoortregels, methodewijzigingshistorie of vertaaltabel naar NDFF-identiteiten. De acht eenmalige locaties hebben geen volledige WKT-begrenzing; hun RD-punten mogen niet zonder meer als exact onderzocht vlak worden gebruikt. Voor de vier vaste plots moet bij de integratie worden gecontroleerd welke ontbrekende soorten binnen een volledig ingevuld telformulier als nul mogen gelden.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r>
        <w:t xml:space="preserve"> 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