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rPr>
          <w:b/>
        </w:rPr>
        <w:t>Stand: 8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
        <w:rPr>
          <w:b/>
        </w:rPr>
        <w:t>Omvang en periode.</w:t>
      </w:r>
      <w:r>
        <w:t xml:space="preserve"> De NDFF-levering bevat 384 korstmossenregels onder meetnetprotocol 02.202 uit 2000–2025 en 377 mossenregels onder protocol 02.204 uit 2000–2011.</w:t>
      </w:r>
    </w:p>
    <w:p>
      <w:pPr>
        <w:pStyle w:val="BodyText"/>
      </w:pPr>
      <w:r/>
      <w:r>
        <w:rPr>
          <w:b/>
        </w:rPr>
        <w:t>Nieuwe primaire bron, 8 oktober 2026.</w:t>
      </w:r>
      <w:r>
        <w:t xml:space="preserve"> 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 Kwantiteit, met vijf van de zes mogelijke klassen in deze selectie. Het rapportagejaar loopt meestal één jaar achter op de feitelijke velddatum; analyses gebruiken de velddatum.</w:t>
      </w:r>
    </w:p>
    <w:p>
      <w:pPr>
        <w:pStyle w:val="BodyText"/>
        <w:keepLines/>
      </w:pPr>
      <w:r/>
      <w:r>
        <w:rPr>
          <w:b/>
        </w:rPr>
        <w:t>Vergelijking met NDFF.</w:t>
      </w:r>
      <w:r>
        <w:t xml:space="preserve"> 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 Usnea articulata en drie verschillen alleen in de gebruikte wetenschappelijke naam. Die twintig regels en de precieze plotlocatie mogen niet in openbare afgeleide tabellen terechtkomen. De bron is ontvangen maar nog niet geïmporteerd.</w:t>
      </w:r>
    </w:p>
    <w:bookmarkEnd w:id="30"/>
    <w:bookmarkStart w:id="31" w:name="bos--en-zeereeppaddenstoelen"/>
    <w:p>
      <w:pPr>
        <w:pStyle w:val="BodyText"/>
      </w:pPr>
      <w:r/>
      <w:r>
        <w:rPr>
          <w:b/>
        </w:rPr>
        <w:t>Wat kan nu?</w:t>
      </w:r>
      <w:r>
        <w:t xml:space="preserve"> 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
        <w:rPr>
          <w:b/>
        </w:rPr>
        <w:t>Wat ontbreekt nog?</w:t>
      </w:r>
      <w:r>
        <w:t xml:space="preserve"> 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