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23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 xml:space="preserve">bevat de klassen 1, 2, 3, 5 en 6. Gebruik voor analyses de velddatum; het rapportagejaar ligt bij de toegevoegde formulieren uit 2015 en 2018 telkens één jaar eerder.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ndff_korstmossen</w:t>
      </w:r>
      <w:r>
        <w:t xml:space="preserve"> </w:t>
      </w:r>
      <w:r>
        <w:t xml:space="preserve">en</w:t>
      </w:r>
      <w:r>
        <w:t xml:space="preserve"> </w:t>
      </w:r>
      <w:r>
        <w:rPr>
          <w:rStyle w:val="VerbatimChar"/>
        </w:rPr>
        <w:t xml:space="preserve">ndff_mossen</w:t>
      </w:r>
      <w:r>
        <w:t xml:space="preserve"> </w:t>
      </w:r>
      <w:r>
        <w:t xml:space="preserve">blijven NDFF-indexen voor alle bronhouders, niet uitsluitend BLWG. Voor protocol 02.204 meldde BLWG dat, voor zover bekend, geen oorspronkelijke kopgegevens worden bijgehouden. Vraag daarvoor nu niet opnieuw gegevens op.</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