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29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rPr>
          <w:b/>
        </w:rPr>
        <w:t>Taxonomisch register aangevuld en centraal opgeschoond, stand 29 september 2026.</w:t>
      </w:r>
      <w:r>
        <w:t xml:space="preserve"> De levende lokale database bevat nu 27 praktische groepen en 11.659 centrale naamvermeldingen. De tabel met bronkoppelingen bevat 24.561 rijen: alle 18.437 oorspronkelijke bronbesluiten, drie eerdere identificatie-aliassen en 6.121 volledig bewaarde oorspronkelijke taxoncontexten.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rPr>
        <w:t>Gerichte taxonfusie, 28 en 29 september 2026.</w:t>
      </w:r>
      <w:r>
        <w:t xml:space="preserve"> 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 docs/database/TAXONREGISTER.md.</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De eerdere beoordeling liet 278 bronregistraties zonder primaire groep. Na centralisatie en de onderbouwde fusies zijn er 235 centrale naamvermeldingen zonder primaire groep.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zijn volledig bewaard en hun koppelingnummers blijven gelijk. Bij de registeraanvulling van 27 september waren alle 249 toenmalige overige tabellen en bijbehorende databaseobjecten vóór en na de aanvulling identiek. Bij de centralisatie van 29 september geldt dat voor de inmiddels 251 overige tabellen. Website, dashboard en Shiny zijn niet aangepast. Beide uitvoeringen zijn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BodyText"/>
      </w:pPr>
      <w:r>
        <w:rPr>
          <w:b/>
        </w:rPr>
        <w:t>Vangblik-opschoning, 28 september 2026.</w:t>
      </w:r>
      <w:r>
        <w:t xml:space="preserve"> De 60.560 vangstregels uit 1953–1960 zijn lokaal rechtstreeks verbonden met het centrale taxonregister. De 275 oorspronkelijke taxonvermeldingen zijn daar met alle bronvelden behouden; de afzonderlijke tabel vangblik_soorten 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rPr>
          <w:b/>
        </w:rPr>
        <w:t>Aanvullende taxonomische metadata, beoordeeld 27 september 2026.</w:t>
      </w:r>
      <w:r>
        <w:t xml:space="preserve"> In de extractie van 998 LVD-naamgebruiken uit de bronreeks 1959–2015 is bij 122 het veld scientificNameAuthorship gelijk aan de volledige scientificName. Manifest v3 heeft deze tekst niet als auteur overgenomen: het centrale veld naam_auteur bleef bij die invoer voor deze 122 naamgebruiken leeg. Bij de centralisatie zijn afzonderlijk onderbouwde auteursnamen aangevuld; de oorspronkelijke lege waarde blijft in de broncontext bewaard.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