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t>Stand: 1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1 oktober 2026.</w:t>
      </w:r>
      <w:r>
        <w:t xml:space="preserve"> Voor telleridentificatie is plot_jaar_teller in de levende lokale database de leidende projectregistratie. Een vergelijking met waarnemer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ontbreekt plot_jaar_teller. Inhoudelijke controle door de data-eigenaar toont concrete AVIMAP-toeschrijvingen aan kavels die de genoemde waarnemer niet heeft geteld. Het AVIMAP-veld wordt daarom niet gebruikt om plot_jaar_teller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plot_jaar_teller en houden tellerteams en ontbrekende koppelingen afzonderlijk herkenbaar.</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