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16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bevatte na die eerste ronde 28 lokaal geraadpleegde Zotero-bronnen; met de acht jaarverslagbronnen zijn dat er nu 36. Dubbele exemplaren, algemene gebiedsbeschrijvingen, uitsluitend voorgenomen werk en niet-lokaliseerbare vermeldingen zijn niet als afzonderlijke uitvoering ingevoerd.</w:t>
      </w:r>
    </w:p>
    <w:p w:rsidR="00000000">
      <w:pPr>
        <w:pStyle w:val="BodyText"/>
      </w:pPr>
      <w:r>
        <w:t>Op 16 oktober 2026 is daarnaast de volledige Zotero-reeks met titels beginnend met Vogelpopulatieonderzoek Meijendel en Vogelwerkgroep Meijendel opnieuw en afzonderlijk beoordeeld op werkzaamheden en andere beheermaatregelen. De selectie bevat 44 bibliografische hoofditems. Veertien unieke samengestelde of afzonderlijke PDF-containers met samen 716 pagina’s en verslagjaren 1958–2001 zijn inhoudelijk doorzocht; losse tellijsten en overlappende rapportkopieën zijn niet als zelfstandige bewijsbron geteld. De controle leverde 22 nieuwe uitgevoerde kandidaten, één expliciet niet-uitgevoerde padaanleg en vier aanvullingen op bestaande uitvoeringen. Zij staan met bron, jaarstatus, activiteit en uitsluitend bronvaste of eerder vastgestelde kavelrelaties in Werkzaamheden en maatregelen uit broedvogeljaarverslagen. De genormaliseerde tijdelijke beoordelingstabellen staan in gis/database/maatregelen_jaarverslagen_broedvogels_kandidaten.sql. Na inhoudelijke goedkeuring zijn deze kandidaten idempotent in gis/database/maatregelen_seed.sql verwerkt en tweemaal achtereen in een geïsoleerde proefdatabase geïmporteerd. Die proef bevat 51 bronnen, 21 projecten, 87 uitvoeringen, 132 jaarregels, 126 uitvoering-bronkoppelingen en 256 plotkoppelingen; de bronvaste view bevat 357 plot-jaarrijen. Dezelfde seed is daarna in één transactie op de levende lokale database toegepast. Die bevat 52 bronnen: 51 inhoudelijke bronnen en één administratieve migratiebron.</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t>Omvang en periode. De levende lokale database bevat 21 projecten, 52 bronnen, 87 uitvoeringen, 132 expliciete jaarbeoordelingen uit 1958–2026 en 126 bronkoppelingen. Van de 52 bronnen zijn er 51 inhoudelijk en één administratief. Van de jaarbeoordelingen zijn er 115 uitgevoerd, 10 niet_uitgevoerd en 7 onbekend. De uitvoering in Meeuwenduin en Prinsenduin is gesplitst: 2023 betreft beide naamgebieden; 2024 uitsluitend Prinsenduin. De totale laag omvat waterwinning en infiltratieplassen, pad- en rasterwerk, zandvastlegging, de rietpotenproef, begrazing, maaien, plaggen, slibverwijdering en de uit de broedvogeljaarverslagen afgeleide historische werkzaamheden. De datumvelden lopen van 1958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bevat 256 geverifieerde directe relaties. De 45 nieuwe relaties uit de broedvogeljaarverslagen gebruiken uitsluitend letterlijke kavelvermeldingen of eerder door Ton vastgestelde liggingen. Van de eerdere 211 relaties zijn er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De 256 plotkoppelingen en 115 uitgevoerde jaarregels leveren samen 357 regels in</w:t>
      </w:r>
      <w:r>
        <w:t xml:space="preserve"> </w:t>
      </w:r>
      <w:r>
        <w:rPr>
          <w:rStyle w:val="VerbatimChar"/>
        </w:rPr>
        <w:t xml:space="preserve">v_plot_jaar_maatregel_bronvast</w:t>
      </w:r>
      <w:r>
        <w:t>. De 45 nieuwe jaarverslagkoppelingen leveren 44 plot-jaarrijen; de afgewezen padaanleg in Libellenvallei levert er geen. De twee bevestigde uitvoeringsjaren 1998 voor het bodem- en infrastructuurwerk in de Kikkervalleien voegen via M13, M13s en M14 samen zes regels toe. De eerdere 307 regels blijven inhoudelijk behouden.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t>Gebruik en grens. 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t>Status. Bronvast op project-, uitvoering- en jaarniveau voor 51 inhoudelijke bronnen en 87 uitvoeringen. Daarnaast blijft één administratieve migratiebron aanwezig; maatregel_bron bevat 52 regels. De algemene kavel- en gebiedsindeling is geometrisch beschikbaar voor de 55 actuele plots uit 2025; vijf expliciet gekoppelde historische kavels hebben geen afzonderlijke geometrie. De bronvaste plot-jaarlaag bevat 357 regels voor 1966–2025. maatregel_plot_koppeling bevat 256 relaties. Zeven uitvoeringen hebben geen directe plotkoppeling. De twee Bendel-uitvoeringen en de begrazing van landgoed Weiduin vallen aantoonbaar buiten het Meijendel-plotgebied. Vier uitvoeringen blijven binnen het gebied ruimtelijk onbepaald: de corvidenbestrijding in vijf jaren tussen 1958 en 1966, de toevoeging van Galloways in 1991, het al vóór of in 1987 begonnen jaarlijkse maaien van niet nader begrensde geschikte terreindelen en de rietpotenproef van 1987. De rietpotenproef blijft overeenkomstig het eerdere besluit ongekoppeld zolang de genoemde padnamen niet geografisch betrouwbaar zijn bepaald.</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w:t>
      </w:r>
      <w:r>
        <w:t xml:space="preserve"> </w:t>
      </w:r>
      <w:r>
        <w:rPr>
          <w:rStyle w:val="VerbatimChar"/>
        </w:rPr>
        <w:t xml:space="preserve">maatregel_geometrie</w:t>
      </w:r>
      <w:r>
        <w:t xml:space="preserve"> </w:t>
      </w:r>
      <w:r>
        <w:t xml:space="preserve">leeg.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FirstParagraph"/>
      </w:pPr>
      <w:r>
        <w:t>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FirstParagraph"/>
      </w:pPr>
      <w:r>
        <w:t>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 https://edepot.wur.nl/393293.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FirstParagraph"/>
      </w:pPr>
      <w:r>
        <w:t>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FirstParagraph"/>
      </w:pPr>
      <w:r>
        <w:t>Vervolgkaartonderzoek, 16 oktober 2026, versie 2. De verbeterlevering meijendel_databasekwaliteit_2026-10-16_v2 bevat dezelfde 136 bestaande object-ID’s en 23 aanvullende bewijsregels. De volledige oorspronkelijke Neefjes-publicatie is nu verkregen via de actuele download https://pas.ecologischeautoriteit.nl/files/ea/5004/011152-5004-cultuursporen-in-het-duin.pdf: 76 PDF-pagina’s, met de drie kaartbijlagen op pagina’s 74–76. De kopie op Duinen en Mensen telt 73 pagina’s en mist die bijlagen. De oorspronkelijke vegetatiekaarten uit 1955 zijn beschikbaar in het proefschrift van Boerboom uit 1960 (https://edepot.wur.nl/183358,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FirstParagraph"/>
      </w:pPr>
      <w:r>
        <w:t>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FirstParagraph"/>
      </w:pPr>
      <w:r>
        <w:t>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FirstParagraph"/>
      </w:pPr>
      <w:r>
        <w:t>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FirstParagraph"/>
      </w:pPr>
      <w:r>
        <w:t>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FirstParagraph"/>
      </w:pPr>
      <w:r>
        <w:t>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p>
      <w:pPr>
        <w:pStyle w:val="Heading2"/>
      </w:pPr>
      <w:r>
        <w:t>Integratie begrazing en toegankelijkheid op 16 oktober 2026</w:t>
      </w:r>
    </w:p>
    <w:p>
      <w:r>
        <w:t>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r>
        <w:t>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r>
        <w:t>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r>
        <w:t>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r>
        <w:t>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r>
        <w:t>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r>
        <w:t>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r>
        <w:t>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r>
        <w:t>Betekenistoets: uitvoering, locatie, tijd, toestand en taxonidentiteit blijven onderscheiden volgens Darwin Core (https://dwc.tdwg.org/terms/) en TDWG TCS (https://tcs.tdwg.org/terms/), geraadpleegd op 16 oktober 2026. Begrazingsdieren zijn beheereigenschappen en worden door deze migratie geen wilde soortwaarnemingen.</w:t>
      </w:r>
    </w:p>
    <w:p>
      <w:pPr>
        <w:pStyle w:val="Heading2"/>
      </w:pPr>
      <w:r>
        <w:t>Rechtstreekse aansluiting zonder compatibiliteitsviews</w:t>
      </w:r>
    </w:p>
    <w:p>
      <w:r>
        <w:t>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r>
        <w:t>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r>
        <w:t>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r>
        <w:t>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r>
        <w:t>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2026-10-16T11:59:15Z</dcterms:created>
  <dcterms:modified xsi:type="dcterms:W3CDTF">2026-10-16T11:59:15Z</dcterms:modified>
</cp:coreProperties>
</file>

<file path=docProps/custom.xml><?xml version="1.0" encoding="utf-8"?>
<Properties xmlns="http://schemas.openxmlformats.org/officeDocument/2006/custom-properties" xmlns:vt="http://schemas.openxmlformats.org/officeDocument/2006/docPropsVTypes"/>
</file>