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is ook het definitieve beheerplan 2016–2022 als ruimtelijke bevestiging voor de PIM-oeveraanpassingen geregistreerd. Pagina 131 koppelt die werkzaamheden aan Tafelberg en ’t Scheepje. Samen met de zes al gebruikte Zotero-bronnen bevat</w:t>
      </w:r>
      <w:r>
        <w:t xml:space="preserve"> </w:t>
      </w:r>
      <w:r>
        <w:rPr>
          <w:rStyle w:val="VerbatimChar"/>
        </w:rPr>
        <w:t xml:space="preserve">maatregel_bron</w:t>
      </w:r>
      <w:r>
        <w:t xml:space="preserve"> </w:t>
      </w:r>
      <w:r>
        <w:t xml:space="preserve">nu 26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40 bronnen, 64 uitvoeringen, 104 expliciete jaarbeoordelingen uit 1967–2026 en 95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176 geverifieerde directe relaties. Daarvan waren 40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één voor infiltratieplas 27.2 en vier voor het bronvast gelokaliseerde deel van de programmabrede pannenmaatregel.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176 plotkoppelingen en 88 uitgevoerde jaarregels leveren samen 267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programmabrede pannenmaatregel voegt vier scoperegels voor M6, M7, M13 en M77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40 ingevoerde bronnen en 64 uitvoeringen. De algemene kavel- en gebiedsindeling is geometrisch beschikbaar voor de 55 actuele plots uit 2025; vijf expliciet gekoppelde historische kavels hebben geen afzonderlijke geometrie. De bronvaste plot-jaarlaag bevat 267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176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programmabrede pannenmaatregel vier; infiltratieplas 27.2 één. Acht uitvoeringen hebben geen directe plotkoppeling. De twee Bendel-uitvoeringen en de begrazing van landgoed Weiduin vallen aantoonbaar buiten het Meijendel-plotgebied, zodat nog vijf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2026-10-16T08:54:41Z</dcterms:created>
  <dcterms:modified xsi:type="dcterms:W3CDTF">2026-10-16T08:54:41Z</dcterms:modified>
</cp:coreProperties>
</file>

<file path=docProps/custom.xml><?xml version="1.0" encoding="utf-8"?>
<Properties xmlns="http://schemas.openxmlformats.org/officeDocument/2006/custom-properties" xmlns:vt="http://schemas.openxmlformats.org/officeDocument/2006/docPropsVTypes"/>
</file>