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40</w:t>
            </w:r>
          </w:p>
        </w:tc>
        <w:tc>
          <w:tcPr/>
          <w:p>
            <w:pPr>
              <w:pStyle w:val="Compact"/>
            </w:pPr>
            <w:r>
              <w:t xml:space="preserve">26 lokaal geraadpleegde Zotero-bronnen en veertien officiële of institutionele internetbronnen, ieder met type, datum, status en raadpleegdatum.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95</w:t>
            </w:r>
          </w:p>
        </w:tc>
        <w:tc>
          <w:tcPr/>
          <w:p>
            <w:pPr>
              <w:pStyle w:val="Compact"/>
            </w:pPr>
            <w:r>
              <w:t xml:space="preserve">Relaties tussen uitvoering en bewijsbron, met bronrol en bewijsnotitie.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176</w:t>
            </w:r>
          </w:p>
        </w:tc>
        <w:tc>
          <w:tcPr/>
          <w:p>
            <w:pPr>
              <w:pStyle w:val="Compact"/>
            </w:pPr>
            <w:r>
              <w:t xml:space="preserve">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267</w:t>
            </w:r>
          </w:p>
        </w:tc>
        <w:tc>
          <w:tcPr/>
          <w:p>
            <w:pPr>
              <w:pStyle w:val="Compact"/>
            </w:pPr>
            <w:r>
              <w:t xml:space="preserve">Bronvaste plot-jaarregels voor 1967–1969, 1972–1975, 1988–1991, 1993, 1997, 2002, 2005–2006, 2013–2014 en 2016–2025.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w:t>
            </w:r>
          </w:p>
        </w:tc>
      </w:tr>
    </w:tbl>
    <w:p>
      <w:pPr>
        <w:pStyle w:val="FirstParagraph"/>
      </w:pPr>
      <w:r>
        <w:t xml:space="preserve">De vier nieuwe plotrelaties bij de programmabrede pannenmaatregel betreffen M6, M7, M13 en M77. Het beheerplan 2016–2022 koppelt de PIM-oeveraanpassingen aan Tafelberg en ’t Scheepje; de actuele nameninventaris verbindt deze namen met de vier kavels. Zij leveren vier extra scoperegels voor 2018. De door Dunea gemelde 370.000 m3 verwijderd materiaal is niet per plas of kavel verdeeld en mag daarom niet uit deze vier regels worden afgeleid.</w:t>
      </w:r>
    </w:p>
    <w:p>
      <w:pPr>
        <w:pStyle w:val="BodyText"/>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16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2026-10-16T08:41:16Z</dcterms:created>
  <dcterms:modified xsi:type="dcterms:W3CDTF">2026-10-16T08:41:16Z</dcterms:modified>
</cp:coreProperties>
</file>

<file path=docProps/custom.xml><?xml version="1.0" encoding="utf-8"?>
<Properties xmlns="http://schemas.openxmlformats.org/officeDocument/2006/custom-properties" xmlns:vt="http://schemas.openxmlformats.org/officeDocument/2006/docPropsVTypes"/>
</file>