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BodyText"/>
      </w:pPr>
      <w:r>
        <w:rPr>
          <w:b/>
        </w:rPr>
        <w:t>Stand: 28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om 21:53 uur. De levende lokale database bevat nu 27 praktische groepen en 15.580 naamgebruiken en referenties. Daarvan zijn 14.663 registraties aan hun oorspronkelijke bron gebonden; 917 zijn gedeelde externe naamreferenties. De 18.437 bronbesluiten omvatten 18.350 actieve besluiten en 87 bewaarde eerdere versies.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en hun koppelingen zijn ongewijzigd. Alle 249 overige tabellen en bijbehorende databaseobjecten zijn vóór en na de aanvulling identiek. Website, dashboard en Shiny zijn niet aangepast. De veilige registeraanvulling is uitgevoerd en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 september 2026.</w:t>
      </w:r>
      <w:r>
        <w:t xml:space="preserve"> De 53.122 provinciale taxonregels uit 1981–2025 zijn in de levende lokale database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publicatie naar website, dashboard en Shiny volgt via de gecontroleerde exportketen; hun bestaande provinciale uitkomsten blijven gelijk.</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werkelijke taxonrang komt uit het centrale register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