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39</w:t>
            </w:r>
          </w:p>
        </w:tc>
        <w:tc>
          <w:tcPr/>
          <w:p>
            <w:pPr>
              <w:pStyle w:val="Compact"/>
            </w:pPr>
            <w:r>
              <w:t xml:space="preserve">25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94</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165</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251</w:t>
            </w:r>
          </w:p>
        </w:tc>
        <w:tc>
          <w:tcPr/>
          <w:p>
            <w:pPr>
              <w:pStyle w:val="Compact"/>
            </w:pPr>
            <w:r>
              <w:t xml:space="preserve">Bronvaste plot-jaarregels voor 1967–1969, 1972–1975, 1988–1991, 1993, 1997, 2002, 2005–2006, 2013–2014 en 2016–2025. Maatregel 3c levert 65 scoperegels voor dertien kavels in 2017–2021; de bron verdeelt de 110 hectare niet per gebied, kavel of jaar.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2026-10-15T20:57:17Z</dcterms:created>
  <dcterms:modified xsi:type="dcterms:W3CDTF">2026-10-15T20:57:17Z</dcterms:modified>
</cp:coreProperties>
</file>

<file path=docProps/custom.xml><?xml version="1.0" encoding="utf-8"?>
<Properties xmlns="http://schemas.openxmlformats.org/officeDocument/2006/custom-properties" xmlns:vt="http://schemas.openxmlformats.org/officeDocument/2006/docPropsVTypes"/>
</file>