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7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2026.</w:t>
      </w:r>
      <w:r>
        <w:t xml:space="preserve"> </w:t>
      </w:r>
      <w:r>
        <w:t xml:space="preserve">Batchanalyse, Shiny en de zelfstandige GEE/power-route gebruiken dezelfde statusgestuurde selectie. Binnen de standaardscope met 151.583 territoriumregels in 52 plots en 2.107 plotjaren uit 1958-2025 is uitsluitend een aanwezige bronregel een analysewaarde. De 86.693 letterlijke</w:t>
      </w:r>
      <w:r>
        <w:t xml:space="preserve"> </w:t>
      </w:r>
      <w:r>
        <w:rPr>
          <w:rStyle w:val="VerbatimChar"/>
        </w:rPr>
        <w:t xml:space="preserve">sovon_m</w:t>
      </w:r>
      <w:r>
        <w:t xml:space="preserve">-nullen uit 1984-2025 blijven nul; een ontbrekende soortregel of lege matrixcel blijft</w:t>
      </w:r>
      <w:r>
        <w:t xml:space="preserve"> </w:t>
      </w:r>
      <w:r>
        <w:rPr>
          <w:rStyle w:val="VerbatimChar"/>
        </w:rPr>
        <w:t xml:space="preserve">NA</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daardoor 156 soorten in de statuslaag, 135 soorten met minimaal één indexreeks en 94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nooit stilzwijgend als afwezigheid gebruikt.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2026-10-07T12:22:55Z</dcterms:created>
  <dcterms:modified xsi:type="dcterms:W3CDTF">2026-10-07T12:22:55Z</dcterms:modified>
</cp:coreProperties>
</file>

<file path=docProps/custom.xml><?xml version="1.0" encoding="utf-8"?>
<Properties xmlns="http://schemas.openxmlformats.org/officeDocument/2006/custom-properties" xmlns:vt="http://schemas.openxmlformats.org/officeDocument/2006/docPropsVTypes"/>
</file>