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29 oktober 2026.</w:t>
      </w:r>
    </w:p>
    <w:p>
      <w:pPr/>
      <w:r>
        <w:t>Opslagwijziging van 23 oktober 2026. De 32.353 openbare NDFF-moswaarnemingen uit 1940–2025 en 28.643 openbare NDFF-korstmoswaarnemingen uit 1936–2025 staan nu als volledige bronregels in Meijendel.mossen_waarneming en Meijendel.korstmossen_waarneming. De overige 749.834 openbare regels blijven in ndff_open_waarneming. Een smal register verbindt de 810.830 unieke openbare identiteiten met precies één fysieke tabel; het bewaart geen tweede volledige waarneming. De vroegere ID-only-tabellen ndff_mossen en ndff_korstmossen zijn verwijderd. De afzonderlijke BLWG-formulieren en hun resultaten, de bestaande PQ-kwalificaties en de afgeschermde exacte geometrieën zijn behouden. Dit is een opslagverbetering, geen nieuwe bron of bewijs voor extra trends.</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rPr>
        <w:t xml:space="preserve">Voorlopige BMP-territoriumlevering 2026, ontvangen en alleen-lezen vergeleken op 29 oktober 2026. </w:t>
      </w:r>
      <w:r>
        <w:t>Het lokale bestand /Users/ton/Library/Mobile Documents/com~apple~CloudDocs/Downloads/Avimap_totalen_territoria__plots_diversen.xlsx bevat 5.159 kavel-soortregels voor 54 kavels: 4.570 numerieke waarden en 589 lege waarden; daarnaast staat één volledig lege rij in het werkblad. Voor 50 kavels zijn numerieke resultaten aangeleverd. Na uitsluiting van M66 en M91 volgens plot_analyse_scope blijven 48 kavels, 4.362 ingevulde waarden, 1.676 positieve kavel-soortcombinaties en 8.541 territoria van 99 soorten over. M62, M85, M54b en M75a bevatten uitsluitend lege waarden. De gebruiker meldt twee nog niet definitief goedgekeurde kavels; het bestand bevat geen goedkeuringsveld en identificeert deze twee kavels niet. De volledige levering blijft voorlopig en is niet in Meijendel of Meijendel_bronnen geïmporteerd. Alleen beschrijvend gebruikt voor het aangevraagde A4-verslag. Vergelijking met 2025: 43 gedeelde kavels en 4.007 in beide jaren ingevulde kavel-soortcombinaties, met 7.614 territoria in 2025 en 7.669 in 2026. Ontbrekende waarden zijn niet als nul behandeld; formeel afgekeurde historische SOVON-plotjaren zijn uitgesloten. De Excel-plotidentificaties sluiten aan op de bestaande lokale kavels; afzonderlijke territoriumlocaties, bezoeken en inspanning ontbreken in deze totalenlevering. Het bestand verruimt geen publicatierechten. Bronhouders blijven SOVON/AVIMAP en Vogelwerkgroep Meijendel; geen onafhankelijke extra meetreeks. Definitieve import en iedere publicatie blijven afzonderlijke besluiten.</w:t>
      </w:r>
    </w:p>
    <w:p>
      <w:pPr>
        <w:pStyle w:val="BodyText"/>
      </w:pPr>
      <w:r>
        <w:rPr>
          <w:b/>
        </w:rPr>
        <w:t xml:space="preserve">Rode en Oranje Lijst voor de voorlopige analyse 1990–2026, gecontroleerd op 29 oktober 2026. </w:t>
      </w:r>
      <w:r>
        <w:t>De vaste referentie is de officiële Rode Lijst broedvogels 2016, vastgesteld in 2017 (87 soorten), en de Oranje Lijst broedvogels 2016 (14 soorten), gecontroleerd op https://www.vogelbescherming.nl/bescherming/juridische-bescherming/soortbescherming/rode-lijst/rode-lijst-broedvogels en de Sovon-Rode-Lijstpagina. In soort_richtlijn staat bij Rode Lijst/Kwetsbaar Nachtzwaluw (soort_id=135) waar de officiële lijst Nachtegaal (soort_id=167) noemt; bij Gevoelig staat Drieteenstrandloper (soort_id=89) waar Drieteenmeeuw (soort_id=442) hoort. Deze verschillen zijn uitsluitend in de lokale analyse gecorrigeerd; database, website, export en Shiny-cache zijn ongewijzigd. De directe vergelijking gebruikt numerieke bronwaarden voor alle 37 jaren: 205 kavel-soortcombinaties op negen kavels voor de Rode Lijst en 52 op tien kavels voor Oranje. Deze kavels hebben in 1990–2025 gelijk geregistreerd oppervlak; de 2026-export bevat geen grensgeometrie, zodat gelijkblijvende kavels ten opzichte van 2025 een expliciete voorlopige aanname blijven. Beide reeksen bevatten uitsluitend letterlijke nullen en positieve bronwaarden, geen afgeleide jaarverslagnullen. Zij zijn deelreeksen, geen gebiedsdekkende populatieschatting. De bredere vergelijking 2025–2026 gebruikt 935 Rode Lijst- en 226 Oranje Lijst-kavel-soortcombinaties op 43 kavels, telkens in beide jaren ingevuld. De voorlopige levering blijft ongeïmporteerd. Opnieuw op levende gegevens berekende TRIM-modellen ondersteunen de neerwaartse richting, maar het geometrisch groepsgemiddelde is sterk gevoelig voor modelschattingen bij schaarse soorten; die modelpercentages worden daarom niet als hoofdresultaat gepubliceerd. Analyses en bewijs staan lokaal onder /Users/ton/Documents/BMP 2026/rode_oranje_analyse/.</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Gerichte mos- en korstmosvergelijking, 23 oktober 2026.</w:t>
      </w:r>
      <w:r>
        <w:t xml:space="preserve"> Van 10.903 openbare NDFF-mosregels en 2.998 openbare NDFF-korstmosregels met mogelijke PQ-herkomst uit 1981–2025 passen er respectievelijk 3.020 en 936 strikt één-op-één op een provinciale taxonregel: datum, taxon, bedekkingsklasse en ligging van het provinciepunt binnen de NDFF-polygoon stemmen overeen. Deze 3.956 NDFF-regels vertegenwoordigen 3.615 verschillende bronsignaturen en 3.615 provinciale taxonregels in 770 opnamen; 341 signaturen zijn in NDFF dubbel onder de protocollen 12.007 en 12.202 geregistreerd. Nog 228 regels hebben een nabije één-op-één-kandidaat binnen 8 meter. Een oorspronkelijke gedeelde opname-ID ontbreekt, zodat dit sterke inhoudelijke aanwijzingen voor dubbeling zijn, geen bewezen exacte bronidentiteiten. De overige kandidaten zijn niet automatisch onafhankelijk: 292 hebben meerdere passende koppelingen, 14 een afwijkende bedekking, 3.128 alleen een gelijke datum en soort op een andere plaats en 6.283 geen gelijke datum-soortcombinatie. De provinciale PQ-reeks blijft leidend; deze NDFF-regels worden niet als extra PQ-metingen of als zelfstandige trenddata opgeteld. De volledige beslisregels en alle 13.901 uitkomsten per NDFF-ID staan in docs/bronnen/audits/NDFF_PQ_MOS_KORSTMOS_VERGELIJKING.md en gis/audit/ndff_pq_mos_korstmos_audit_v1.csv. Er zijn geen bronregels, geometrieën of bestaande PQ-statussen gewijzigd.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bevat de klassen 1, 2, 3, 5 en 6. Gebruik voor analyses de velddatum: bij 40 van de 44 formulieren ligt het rapportagejaar één jaar eerder; bij de vier formulieren uit 2006 is het gelijk aan het veldjaar.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r>
        <w:t>Analysecontrole, 24 oktober 2026. De 44 formulieren vormen 32 locatie-meetjaren; twaalf daarvan hebben twee waarnemersformulieren. Na samenvoegen per locatie, veldjaar en brontaxon blijven 643 openbare combinaties over: 287 met aanwezigheid en 356 met een echte nul. Van de 24 locatie-meetjaren op de vier vaste plots zijn er 576 openbare taxoncombinaties: 220 aanwezig en 356 nul. Bij negen combinaties verschillen de formulieren over aanwezigheid; bij acht vaste-plotcombinaties verschilt de positieve hoeveelheidscode. Bij de acht eenmalige locaties komen nog acht codeverschillen voor, maar geen nullen. Een soort geldt in een meetjaar als aanwezig zodra één formulier haar meldt; alleen als alle formulieren voor die soort nul zijn, geldt de samengenomen meetronde als nul. Verschillende oorspronkelijke codes blijven als verschil herkenbaar; de ordinale codes 1, 2, 3, 5 en 6 worden niet opgeteld of gemiddeld. Het meetjaar komt uit de velddatum; het rapportagejaar wijkt bij 40 van de 44 formulieren een jaar af. De herhaalbare alleen-lezen-SELECT-query's staan in gis/scripts/analyse_blwg_mossen_korstmossen.sql. De provinciale PQ-reeks bevat daarnaast 7.753 positieve mosregels en 1.905 positieve korstmosregels uit 1981–2025; die blijven een aparte primaire vegetatiereeks, niet extra BLWG-tellingen. De NDFF-mosreconstructie bevat zeven hokinventarisaties en 354 positieve taxoncombinaties uit 2000–2011, zonder echte nullen. Niet-gematchte NDFF-regels worden daarom niet stilzwijgend als onafhankelijke meetronden meegeteld.</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De voormalige ID-only-tabellen ndff_korstmossen en ndff_mossen zijn op 23 oktober 2026 verwijderd na fysieke verhuizing van de volledige openbare NDFF-regels naar korstmossen_waarneming en mossen_waarneming. </w:t>
      </w:r>
      <w:r/>
      <w:r/>
      <w:r/>
      <w:r>
        <w:rPr>
          <w:rStyle w:val="VerbatimChar"/>
        </w:rPr>
      </w:r>
      <w:r/>
      <w:r>
        <w:t>Voor protocol 02.204 meldde BLWG dat, voor zover bekend, geen oorspronkelijke kopgegevens worden bijgehouden. Vraag daarvoor nu niet opnieuw gegevens op.</w:t>
      </w:r>
      <w:r>
        <w:t xml:space="preserve"> Het gedeelde ndff_open_waarneming_register bewaart hun identificaties en opslag_tabel; het bevat geen tweede volledige waarneming. Deze fysieke bronopslag omvat meerdere bronhouders en protocollen en staat los van de BLWG-formulieren en de protocolgebonden reconstructietabellen.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p>
      <w:pPr>
        <w:pStyle w:val="Heading1"/>
        <w:pageBreakBefore/>
      </w:pPr>
      <w:r>
        <w:t>Archivering van herstelkopieën op 23 oktober 2026</w:t>
      </w:r>
    </w:p>
    <w:p>
      <w:pPr>
        <w:pStyle w:val="BodyText"/>
      </w:pPr>
      <w:r>
        <w:t>De 60 herstelbestanden uit /Users/ton/Documents/Backups zijn op 23 oktober 2026 ondergebracht in /Volumes/T7 Data/Home_Ton/Meijendel data/Backups-archief. De oorspronkelijke submappen zijn behouden: Meijendel bevat 59 SQL-bestanden van 2–3 oktober 2026 (18.190.535.905 bytes); Zotero/Meijendel/2026-09-25 bevat één databasekopie van 25 september 2026 (84.246.528 bytes). Samen: 18.274.782.433 bytes.</w:t>
      </w:r>
    </w:p>
    <w:p>
      <w:pPr>
        <w:pStyle w:val="BodyText"/>
      </w:pPr>
      <w:r>
        <w:t>Alle 60 bestanden zijn vóór verwijdering uit iCloud per bestand op omvang en SHA-256 vergeleken met de T7-kopie. Het controlebestand CONTROLE_SHA256.json in de archiefmap bevat de relatieve bestandsnamen, aantallen bytes en controlewaarden. De bestanden behouden hun betekenis als historische herstelpunten vóór wijzigingen; dit is geen actuele volledige back-up van de levende databases. De Zotero-databasekopie bevat geen afzonderlijke bijlagebestanden.</w:t>
      </w:r>
    </w:p>
    <w:p>
      <w:pPr>
        <w:pStyle w:val="BodyText"/>
      </w:pPr>
      <w:r>
        <w:t>De eerdere locatie onder Documents viel onder iCloud. De archiefmap op de T7 staat buiten iCloud. De ecologische bronbestanden, inhoud, bronbeoordelingen en analytische toelatingsstatussen zijn door deze archivering niet gewijzigd. Dit betreft herstelkopieën van Meijendel en Zotero; het verplaatst geen gegevens uit Meijendel_bronnen en wijzigt geen kandidaatbron. De oude locatie wordt niet als back-updoel hergebruikt.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