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De levende lokale database bevat nu 27 praktische groepen, 14.663 voorlopige naamgebruiken en 15.701 bronbesluiten, waarvan 15.614 actief. Dit zijn brongebonden registraties, geen telling van unieke biologische soorten of lokale aanwezigheid; het register heeft geen eigen waarnemingsperiode. Het omvat NDFF, provinciale PQ, Vangblik, SOVON/AVIMAP, de zes externe datasets en aanvullende referentiecatalogi. Meetperioden en toelatingsvoorwaarden blijven die van de afzonderlijke bronnen hieronder. Bij 1.283 bestaande naamgebruiken is een onderbouwde soortgroep toegevoegd. Alle 87 eerder onopgeloste PQ-naamteksten uit 1981–2025 zijn onderbouwd met code, wetenschappelijke en Nederlandse naam uit de officiële Floranld_2020-lijst; zij hebben een nieuw voorlopig naamgebruik en een nieuwe bronbesluitversie gekregen. Deze openbare Turboveg-referentielijst, aangeboden op 10 maart 2026 via www.synbiosys.alterra.nl/turboveg/, bevat 17.468 codes en bewijst geen lokale aanwezigheid of gelijkheid van historische soortafbakening. Alle oorspronkelijke bronwaarden en eerdere besluiten blijven behouden. Er blijven 1.504 naamgebruiken zonder primaire groep en twee actieve bronvermeldingen zonder doel: Naturalis-Indet. benoemt geen taxon; bij Toendrarietgans ontbreekt de wetenschappelijke bronnaam en moet de herkomst van lokale code 1582 worden vastgesteld. Er zijn geen bevestigde conceptgelijkstellingen toegevoegd en geen metingen samengevoegd. Voor verdere vergelijking via GBIF is toestemming gevraagd om uitsluitend wetenschappelijke namen te versturen; die opvraging is nog niet uitgevoerd. De 263 bestaande vogelnaamgebruiken en hun koppelingen zijn ongewijzigd. Website, dashboard en Shiny zijn niet op dit register omgeschakeld. Uitvoering, terugdraaiproef en controles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r>
        <w:t>Taxonomische importbeperking, vastgesteld 27 september 2026. Bij alle 81.310 toegelaten LVD-resultaten (1959–2015; 998 verschillende naamstrings) bevat externe_ecologie_resultaat.taxonrang een status in plaats van een rang: 81.285 keer accepted en 25 keer synonym. De importeur heeft hiervoor taxonomicStatus gebruikt; de oorspronkelijke status is ook in bronmetadata bewaard. Gebruik dit veld niet als taxonomische rang. De uitgevoerde centrale registratie laat de rang leeg en houdt de bronstatus afzonderlijk herkenbaar. De bestaande import en bronlaag zijn niet gecorrigeerd; de ruimtelijke toelating, overlapbesluiten en meetwaarden blijven ongewijzigd. Zie docs/database/TAXONREGISTER.md voor het controlebewijs.</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