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Xdea145a7474320bcc321aebaf5687f9ab4d02fb"/>
    <w:p>
      <w:pPr>
        <w:pStyle w:val="Heading1"/>
      </w:pPr>
      <w:r>
        <w:t xml:space="preserve">Bronregister ecologische gegevens Meijendel</w:t>
      </w:r>
    </w:p>
    <w:p>
      <w:pPr>
        <w:pStyle w:val="FirstParagraph"/>
      </w:pPr>
      <w:r>
        <w:rPr>
          <w:b/>
          <w:bCs/>
        </w:rPr>
        <w:t xml:space="preserve">Stand: 3 oktober 2026.</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30.040 rijen: alle 18.437 oorspronkelijke bronbesluiten, drie eerdere identificatie-aliassen, 6.121 volledig bewaarde oorspronkelijke taxoncontexten, 5.478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bookmarkEnd w:id="9"/>
    <w:bookmarkStart w:id="10" w:name="overkoepelende-analysegeschiktheid"/>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1" w:name="bronnen-in-mysql-database-meijendel"/>
    <w:p>
      <w:pPr>
        <w:pStyle w:val="Heading2"/>
      </w:pPr>
      <w:r>
        <w:t xml:space="preserve">1. Bronnen in MySQL-database</w:t>
      </w:r>
      <w:r>
        <w:t xml:space="preserve"> </w:t>
      </w:r>
      <w:r>
        <w:rPr>
          <w:rStyle w:val="VerbatimChar"/>
        </w:rPr>
        <w:t xml:space="preserve">Meijendel</w:t>
      </w:r>
    </w:p>
    <w:bookmarkStart w:id="12" w:name="Xccd8cb4345e3f59364194a2576f706cc2c0a66e"/>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gedeeltelijk verwerkt.</w:t>
      </w:r>
      <w:r>
        <w:t xml:space="preserve"> </w:t>
      </w:r>
      <w:r>
        <w:t xml:space="preserve">De 111 geleverde bezoeken staan al gelijk in</w:t>
      </w:r>
      <w:r>
        <w:t xml:space="preserve"> </w:t>
      </w:r>
      <w:r>
        <w:rPr>
          <w:rStyle w:val="VerbatimChar"/>
        </w:rPr>
        <w:t xml:space="preserve">dagbezoeken_bmp</w:t>
      </w:r>
      <w:r>
        <w:t xml:space="preserve">; 1.156 positieve vogelresultaten zijn gelijk en 1.999 letterlijke vogelnullen zijn niet-conflicterend. Het bezoektotalenbestand bevat daarnaast 101 positieve zoogdierregels op 58 bestaande BMP-bezoeken in zeven plots: Konijn 46 regels met totaal 241, Ree 34 met totaal 89, Vos 15 met totaal 22, Eekhoorn vijf met totaal 6 en Dwergspitsmuis één met totaal 1. Vergelijking op bezoek en centraal taxon gaf 20 gelijke waarden, 79 ontbrekende waarden en twee afwijkende waarden. De 79 ontbrekende regels, samen 281 dieren op 44 bezoeken, zijn zonder puntgeometrie maar met bestaande bezoekkoppeling opgenomen in</w:t>
      </w:r>
      <w:r>
        <w:t xml:space="preserve"> </w:t>
      </w:r>
      <w:r>
        <w:rPr>
          <w:rStyle w:val="VerbatimChar"/>
        </w:rPr>
        <w:t xml:space="preserve">daz_bmp_*</w:t>
      </w:r>
      <w:r>
        <w:t xml:space="preserve">; er zijn geen nullen afgeleid. De twee open telconflicten betreffen Konijn in M16: bezoek 365793 heeft SOVON 2 tegenover NDFF 9 en bezoek 365789 heeft SOVON 1 tegenover NDFF 3. Die vier bronwaarden zijn niet gewijzigd. De 1.999 vogelnullen zijn nog niet verwerkt.</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w:t>
      </w:r>
      <w:r>
        <w:t xml:space="preserve"> </w:t>
      </w:r>
      <w:r>
        <w:rPr>
          <w:rStyle w:val="VerbatimChar"/>
        </w:rPr>
        <w:t xml:space="preserve">territoria</w:t>
      </w:r>
      <w:r>
        <w:t xml:space="preserve"> </w:t>
      </w:r>
      <w:r>
        <w:t xml:space="preserve">bevat na de controles van 1984–2004 106.921 regels uit 1958-2025.</w:t>
      </w:r>
      <w:r>
        <w:t xml:space="preserve"> </w:t>
      </w:r>
      <w:r>
        <w:rPr>
          <w:rStyle w:val="VerbatimChar"/>
        </w:rPr>
        <w:t xml:space="preserve">dagbezoeken_bmp</w:t>
      </w:r>
      <w:r>
        <w:t xml:space="preserve"> </w:t>
      </w:r>
      <w:r>
        <w:t xml:space="preserve">bevat voor die 21 controlejaren alle 6.327 in-scope SOVON-bezoeken uit de downloads al ongewijzigd. De download is dus geen tweede in te voeren gegevenslaag: per jaar wordt hij met de bestaande kerntabellen vergeleken en alleen een vastgesteld, besloten aanvullend gegeven leidt tot een wijziging.</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w:t>
      </w:r>
      <w:r>
        <w:t xml:space="preserve"> </w:t>
      </w:r>
      <w:r>
        <w:rPr>
          <w:rStyle w:val="VerbatimChar"/>
        </w:rPr>
        <w:t xml:space="preserve">plot_jaar_teller</w:t>
      </w:r>
      <w:r>
        <w:t xml:space="preserve"> </w:t>
      </w:r>
      <w:r>
        <w:t xml:space="preserve">bevat daarna 2.456 regels.</w:t>
      </w:r>
    </w:p>
    <w:p>
      <w:pPr>
        <w:pStyle w:val="BodyText"/>
      </w:pPr>
      <w:r>
        <w:rPr>
          <w:b/>
          <w:bCs/>
        </w:rPr>
        <w:t xml:space="preserve">Goedkeuringsstatus territoria, 1 oktober 2026.</w:t>
      </w:r>
      <w:r>
        <w:t xml:space="preserve"> </w:t>
      </w:r>
      <w:r>
        <w:t xml:space="preserve">De inhoudelijke regel is dat</w:t>
      </w:r>
      <w:r>
        <w:t xml:space="preserve"> </w:t>
      </w:r>
      <w:r>
        <w:rPr>
          <w:rStyle w:val="VerbatimChar"/>
        </w:rPr>
        <w:t xml:space="preserve">territoria</w:t>
      </w:r>
      <w:r>
        <w:t xml:space="preserve"> </w:t>
      </w:r>
      <w:r>
        <w:t xml:space="preserve">uitsluitend formele territoria uit goedgekeurde tellingen hoort te bevatten. De data-eigenaar heeft elf plotjaren als afgekeurd vastgesteld: 2009/M35, 2009/M36, 2012/M105, 2012/M54a, 2015/M53, 2018/M54b, 2018/M55, 2019/M78/79, 2019/M8, 2021/M61 en 2022/M1a. Acht daarvan stonden in</w:t>
      </w:r>
      <w:r>
        <w:t xml:space="preserve"> </w:t>
      </w:r>
      <w:r>
        <w:rPr>
          <w:rStyle w:val="VerbatimChar"/>
        </w:rPr>
        <w:t xml:space="preserve">territoria</w:t>
      </w:r>
      <w:r>
        <w:t xml:space="preserve">. De 142 betrokken regels met 1.017 territoria zijn op 1 oktober 2026, na gerichte herstelkopieën, uit de levende tabel verwijderd. Voor 2012/M105, 2015/M53 en 2021/M61 stonden al geen territoriumregels in de tabel.</w:t>
      </w:r>
      <w:r>
        <w:t xml:space="preserve"> </w:t>
      </w:r>
      <w:r>
        <w:rPr>
          <w:rStyle w:val="VerbatimChar"/>
        </w:rPr>
        <w:t xml:space="preserve">territoria</w:t>
      </w:r>
      <w:r>
        <w:t xml:space="preserve"> </w:t>
      </w:r>
      <w:r>
        <w:t xml:space="preserve">bevat daarna 71.013 regels; geen van de elf afgekeurde plotjaren komt er nog in voor. 2016/M62 (1 regel, 1 territorium) was een afzonderlijke roofvogeltelling en vervalt uit de BMP-tellersensitiviteitsanalyse; dit is een uitzondering op de vergelijkbaarheid, niet op de goedkeuringsstatus.</w:t>
      </w:r>
      <w:r>
        <w:t xml:space="preserve"> </w:t>
      </w:r>
      <w:r>
        <w:rPr>
          <w:rStyle w:val="VerbatimChar"/>
        </w:rPr>
        <w:t xml:space="preserve">dagbezoeken_bmp</w:t>
      </w:r>
      <w:r>
        <w:t xml:space="preserve"> </w:t>
      </w:r>
      <w:r>
        <w:t xml:space="preserve">en</w:t>
      </w:r>
      <w:r>
        <w:t xml:space="preserve"> </w:t>
      </w:r>
      <w:r>
        <w:rPr>
          <w:rStyle w:val="VerbatimChar"/>
        </w:rPr>
        <w:t xml:space="preserve">dagwaarnemingen_bmp</w:t>
      </w:r>
      <w:r>
        <w:t xml:space="preserve"> </w:t>
      </w:r>
      <w:r>
        <w:t xml:space="preserve">kunnen nog wel gegevens uit niet-goedgekeurde tellingen bevatten en zijn daarom op zichzelf geen goedkeuringsbewijs. Het ontbreken van een territoriumregel bewijst omgekeerd niet zonder meer dat een telling is afgekeurd. De eerder ontbrekende tellerkoppelingen voor 2010/M54a, 2012/M66, 2018/M34 en 2018/M8 zijn inmiddels in</w:t>
      </w:r>
      <w:r>
        <w:t xml:space="preserve"> </w:t>
      </w:r>
      <w:r>
        <w:rPr>
          <w:rStyle w:val="VerbatimChar"/>
        </w:rPr>
        <w:t xml:space="preserve">plot_jaar_teller</w:t>
      </w:r>
      <w:r>
        <w:t xml:space="preserve"> </w:t>
      </w:r>
      <w:r>
        <w:t xml:space="preserve">vastgelegd. Analyses gebruiken uitsluitend inhoudelijk goedgekeurde, protocolmatig vergelijkbare territoriumuitkomsten en de bijbehorende</w:t>
      </w:r>
      <w:r>
        <w:t xml:space="preserve"> </w:t>
      </w:r>
      <w:r>
        <w:rPr>
          <w:rStyle w:val="VerbatimChar"/>
        </w:rPr>
        <w:t xml:space="preserve">plot_jaar_teller</w:t>
      </w:r>
      <w:r>
        <w:t xml:space="preserve">-registraties.</w:t>
      </w:r>
    </w:p>
    <w:p>
      <w:pPr>
        <w:pStyle w:val="BodyText"/>
      </w:pPr>
      <w:r>
        <w:rPr>
          <w:b/>
          <w:bCs/>
        </w:rPr>
        <w:t xml:space="preserve">Natura 2000-analysescope vogelplots, vastgesteld 1 oktober 2026 en bijgewerkt na de controle tot en met 2004.</w:t>
      </w:r>
      <w:r>
        <w:t xml:space="preserve"> </w:t>
      </w:r>
      <w:r>
        <w:t xml:space="preserve">De geldige bronverzameling</w:t>
      </w:r>
      <w:r>
        <w:t xml:space="preserve"> </w:t>
      </w:r>
      <w:r>
        <w:rPr>
          <w:rStyle w:val="VerbatimChar"/>
        </w:rPr>
        <w:t xml:space="preserve">territoria</w:t>
      </w:r>
      <w:r>
        <w:t xml:space="preserve"> </w:t>
      </w:r>
      <w:r>
        <w:t xml:space="preserve">bevat 106.921 regels, 54 plots en 2.168 plotjaren uit 1958–2025. M66 (Haagsche Golf Club,</w:t>
      </w:r>
      <w:r>
        <w:t xml:space="preserve"> </w:t>
      </w:r>
      <w:r>
        <w:rPr>
          <w:rStyle w:val="VerbatimChar"/>
        </w:rPr>
        <w:t xml:space="preserve">plot_id = 3503</w:t>
      </w:r>
      <w:r>
        <w:t xml:space="preserve">) bevat daarin 2.967 regels en 10.420 territoria in 39 jaren uit 1985–2025. M91 (Voorlinden,</w:t>
      </w:r>
      <w:r>
        <w:t xml:space="preserve"> </w:t>
      </w:r>
      <w:r>
        <w:rPr>
          <w:rStyle w:val="VerbatimChar"/>
        </w:rPr>
        <w:t xml:space="preserve">plot_id = 3514</w:t>
      </w:r>
      <w:r>
        <w:t xml:space="preserve">) bevat 874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103.080 territoriumregels, 52 plots en 2.111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bookmarkEnd w:id="12"/>
    <w:bookmarkStart w:id="13" w:name="provinciale-permanente-kwadraten"/>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bookmarkEnd w:id="13"/>
    <w:bookmarkStart w:id="14" w:name="Xded6c184b9a569c146345b6e935b052f391caf7"/>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27.923 bestaande rijen, foreign keys, centrale taxonroutes en reconstructieversies zijn behouden. Het schema ondersteunt nu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zijn 44 bestaande BMP-bezoeken en 79 werkelijk ontbrekende bezoek-taxoncellen met samen 281 dieren toegevoegd. Alle waarden liggen in 2005 binnen het plot. De vijf betrokken taxa zijn via vijf versiegebonden koppelingen centraal bereikbaar. Twintig bronwaarden waren al gelijk en zijn niet gedupliceerd. De twee afwijkende Konijnwaarden zijn nog niet opgenomen; daarvoor is een bronkeuze nodig. Deze 79 bezoekaggregaten blijven afzonderlijk van de 19.877 individuele SOVON/AVIMAP-waarnemingen hierboven.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bookmarkEnd w:id="14"/>
    <w:bookmarkStart w:id="16" w:name="historisch-vangblikonderzoek"/>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bookmarkEnd w:id="16"/>
    <w:bookmarkStart w:id="34" w:name="X003d1b4454050d8b2300662d18ee0e6097f4328"/>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dagvlinders"/>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hommels"/>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libellen"/>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nachtvlinders"/>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amfibieën"/>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reptielen"/>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vissen"/>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vleermuistransecten"/>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konijnentellingen-in-de-duinen"/>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wintertellingen-vleermuizen"/>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het-nieuwe-strepen"/>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add682eaf9770b54759a1b54720dedd522bc07f"/>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lmf-aandachtssoorten"/>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mossen-en-korstmossen"/>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bos--en-zeereeppaddenstoelen"/>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weekdieren"/>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snl-gebiedsmonitoring"/>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3" w:name="openbare-externe-ecologiebronnen"/>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6">
        <w:r>
          <w:rPr>
            <w:rStyle w:val="Hyperlink"/>
          </w:rPr>
          <w:t xml:space="preserve">het taxonregister</w:t>
        </w:r>
      </w:hyperlink>
      <w:r>
        <w:t xml:space="preserve">.</w:t>
      </w:r>
    </w:p>
    <w:bookmarkStart w:id="37" w:name="stowa-limnodata"/>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7"/>
    <w:bookmarkStart w:id="38" w:name="endure-helmduinfauna"/>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8"/>
    <w:bookmarkStart w:id="39" w:name="landelijke-vegetatie-databank"/>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bookmarkEnd w:id="39"/>
    <w:bookmarkStart w:id="40" w:name="historische-vlinder--en-motcollectie"/>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40"/>
    <w:bookmarkStart w:id="41" w:name="naturalis-botany"/>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1"/>
    <w:bookmarkStart w:id="42" w:name="naturalis-coleoptera"/>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2"/>
    <w:bookmarkEnd w:id="43"/>
    <w:bookmarkStart w:id="44" w:name="X5d611a31ac68a696fd179c2c85c282500afefc7"/>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4"/>
    <w:bookmarkStart w:id="50" w:name="verklarende-omgevingslagen"/>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5" w:name="dagelijks-weer"/>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5"/>
    <w:bookmarkStart w:id="46" w:name="hoogte"/>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6"/>
    <w:bookmarkStart w:id="47" w:name="stikstofdepositie"/>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7"/>
    <w:bookmarkStart w:id="48" w:name="bodemgebruik"/>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8"/>
    <w:bookmarkStart w:id="49" w:name="natura-2000-habitat"/>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9"/>
    <w:bookmarkEnd w:id="50"/>
    <w:bookmarkEnd w:id="51"/>
    <w:bookmarkStart w:id="59" w:name="X3b532014da7425692b0b753bfd67f02e729afe2"/>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3" w:name="duinvalleivegetatie"/>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2">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3"/>
    <w:bookmarkStart w:id="54" w:name="vogelstand-1924"/>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bookmarkEnd w:id="54"/>
    <w:bookmarkStart w:id="55" w:name="jachtspinnen"/>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5"/>
    <w:bookmarkStart w:id="56" w:name="literatuuroverzicht"/>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6"/>
    <w:bookmarkStart w:id="57" w:name="bijenmonitoring-in-vier-beheergebieden"/>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7"/>
    <w:bookmarkStart w:id="58" w:name="aquatische-macrofauna-19741975"/>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8"/>
    <w:bookmarkEnd w:id="59"/>
    <w:bookmarkStart w:id="79" w:name="Xae67a70ad36e2d1d11a7d910c2e5a6d669a3a5f"/>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6" w:name="Xd53aceb4d9e4863cdbb6367737be5e291cdac65"/>
    <w:p>
      <w:pPr>
        <w:pStyle w:val="Heading3"/>
      </w:pPr>
      <w:r>
        <w:t xml:space="preserve">Kandidaten met de grootste verwachte aanvulling</w:t>
      </w:r>
    </w:p>
    <w:bookmarkStart w:id="60" w:name="historische-en-actuele-ringgegevens"/>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60"/>
    <w:bookmarkStart w:id="61" w:name="erosiepinnen-in-een-stuifkuilcomplex"/>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1"/>
    <w:bookmarkStart w:id="62" w:name="langjarige-droge-duinvegetatieplots"/>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2"/>
    <w:bookmarkStart w:id="64" w:name="neuropteren-van-meijendel"/>
    <w:p>
      <w:pPr>
        <w:pStyle w:val="Heading4"/>
      </w:pPr>
      <w:r>
        <w:t xml:space="preserve">3.4.</w:t>
      </w:r>
      <w:r>
        <w:t xml:space="preserve"> </w:t>
      </w:r>
      <w:hyperlink r:id="rId63">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4"/>
    <w:bookmarkStart w:id="66" w:name="zweefvliegen-van-meijendel"/>
    <w:p>
      <w:pPr>
        <w:pStyle w:val="Heading4"/>
      </w:pPr>
      <w:r>
        <w:t xml:space="preserve">3.5.</w:t>
      </w:r>
      <w:r>
        <w:t xml:space="preserve"> </w:t>
      </w:r>
      <w:hyperlink r:id="rId65">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6"/>
    <w:bookmarkStart w:id="68" w:name="terra-dunes-plant--en-bodemmicrobiomen"/>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7">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8"/>
    <w:bookmarkStart w:id="70" w:name="rups--en-bodemmicrobiomen"/>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9">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70"/>
    <w:bookmarkStart w:id="72" w:name="schimmels-bij-kruipwilg"/>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1">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2"/>
    <w:bookmarkStart w:id="74" w:name="plantengroei-bodemvocht-en-weer"/>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3">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4"/>
    <w:bookmarkStart w:id="75" w:name="genetische-datasets-amfibieën"/>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5"/>
    <w:bookmarkEnd w:id="76"/>
    <w:bookmarkStart w:id="78" w:name="X8c2748f02893018608c8a38a1054acf3030739d"/>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7">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8"/>
    <w:bookmarkEnd w:id="79"/>
    <w:bookmarkStart w:id="80" w:name="verwachte-aanvullingen"/>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80"/>
    <w:bookmarkStart w:id="81" w:name="Xbd1d36805349ef5ec39b6efd044fd20b47e23f4"/>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1"/>
    <w:bookmarkStart w:id="82" w:name="gebruik-van-dit-register"/>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2"/>
    <w:bookmarkStart w:id="88" w:name="actieplan"/>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3" w:name="fase-1-openbare-direct-toetsbare-bronnen"/>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bookmarkEnd w:id="83"/>
    <w:bookmarkStart w:id="84" w:name="X1e65d730f223a62ff579853fd3c77c9308748df"/>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4"/>
    <w:bookmarkStart w:id="85" w:name="X6b9d0c88ffcb5584e67daa74c9524b522af67c0"/>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5"/>
    <w:bookmarkStart w:id="86"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6"/>
    <w:bookmarkStart w:id="87"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7"/>
    <w:bookmarkEnd w:id="88"/>
    <w:bookmarkStart w:id="96" w:name="achterliggende-verantwoording"/>
    <w:p>
      <w:pPr>
        <w:pStyle w:val="Heading2"/>
      </w:pPr>
      <w:r>
        <w:t xml:space="preserve">Achterliggende verantwoording</w:t>
      </w:r>
    </w:p>
    <w:p>
      <w:pPr>
        <w:pStyle w:val="Compact"/>
        <w:numPr>
          <w:ilvl w:val="0"/>
          <w:numId w:val="1005"/>
        </w:numPr>
      </w:pPr>
      <w:hyperlink r:id="rId89">
        <w:r>
          <w:rPr>
            <w:rStyle w:val="Hyperlink"/>
          </w:rPr>
          <w:t xml:space="preserve">NDFF-staging en bronvergelijking</w:t>
        </w:r>
      </w:hyperlink>
    </w:p>
    <w:p>
      <w:pPr>
        <w:pStyle w:val="Compact"/>
        <w:numPr>
          <w:ilvl w:val="0"/>
          <w:numId w:val="1005"/>
        </w:numPr>
      </w:pPr>
      <w:hyperlink r:id="rId90">
        <w:r>
          <w:rPr>
            <w:rStyle w:val="Hyperlink"/>
          </w:rPr>
          <w:t xml:space="preserve">NDFF-protocolaudit</w:t>
        </w:r>
      </w:hyperlink>
    </w:p>
    <w:p>
      <w:pPr>
        <w:pStyle w:val="Compact"/>
        <w:numPr>
          <w:ilvl w:val="0"/>
          <w:numId w:val="1005"/>
        </w:numPr>
      </w:pPr>
      <w:hyperlink r:id="rId91">
        <w:r>
          <w:rPr>
            <w:rStyle w:val="Hyperlink"/>
          </w:rPr>
          <w:t xml:space="preserve">Scheiding tussen Meijendel en Meijendel_bronnen</w:t>
        </w:r>
      </w:hyperlink>
    </w:p>
    <w:p>
      <w:pPr>
        <w:pStyle w:val="Compact"/>
        <w:numPr>
          <w:ilvl w:val="0"/>
          <w:numId w:val="1005"/>
        </w:numPr>
      </w:pPr>
      <w:hyperlink r:id="rId92">
        <w:r>
          <w:rPr>
            <w:rStyle w:val="Hyperlink"/>
          </w:rPr>
          <w:t xml:space="preserve">Ruimtelijke audit van contextbronnen</w:t>
        </w:r>
      </w:hyperlink>
    </w:p>
    <w:p>
      <w:pPr>
        <w:pStyle w:val="Compact"/>
        <w:numPr>
          <w:ilvl w:val="0"/>
          <w:numId w:val="1005"/>
        </w:numPr>
      </w:pPr>
      <w:hyperlink r:id="rId93">
        <w:r>
          <w:rPr>
            <w:rStyle w:val="Hyperlink"/>
          </w:rPr>
          <w:t xml:space="preserve">Importbesluit duinvalleivegetatie</w:t>
        </w:r>
      </w:hyperlink>
    </w:p>
    <w:p>
      <w:pPr>
        <w:pStyle w:val="Compact"/>
        <w:numPr>
          <w:ilvl w:val="0"/>
          <w:numId w:val="1005"/>
        </w:numPr>
      </w:pPr>
      <w:hyperlink r:id="rId94">
        <w:r>
          <w:rPr>
            <w:rStyle w:val="Hyperlink"/>
          </w:rPr>
          <w:t xml:space="preserve">Ruimtelijke bronlagen en toelatingsregels</w:t>
        </w:r>
      </w:hyperlink>
    </w:p>
    <w:p>
      <w:pPr>
        <w:pStyle w:val="Compact"/>
        <w:numPr>
          <w:ilvl w:val="0"/>
          <w:numId w:val="1005"/>
        </w:numPr>
      </w:pPr>
      <w:hyperlink r:id="rId95">
        <w:r>
          <w:rPr>
            <w:rStyle w:val="Hyperlink"/>
          </w:rPr>
          <w:t xml:space="preserve">Beveiligde NDFF-ontvangst</w:t>
        </w:r>
      </w:hyperlink>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_rels/footnotes.xml.rels><?xml version="1.0" encoding="UTF-8"?><Relationships xmlns="http://schemas.openxmlformats.org/package/2006/relationships"><Relationship Type="http://schemas.openxmlformats.org/officeDocument/2006/relationships/hyperlink" Id="rId35" Target="../gis/audit/externe_ecologie_fase1_2_manifest.json" TargetMode="External" /><Relationship Type="http://schemas.openxmlformats.org/officeDocument/2006/relationships/hyperlink" Id="rId91" Target="bronnen/MEIJENDEL_BRONNEN.md" TargetMode="External" /><Relationship Type="http://schemas.openxmlformats.org/officeDocument/2006/relationships/hyperlink" Id="rId92" Target="bronnen/audits/MEIJENDEL_BRONNEN_AUDIT.md" TargetMode="External" /><Relationship Type="http://schemas.openxmlformats.org/officeDocument/2006/relationships/hyperlink" Id="rId90" Target="bronnen/audits/NDFF_PROTOCOLAUDIT.md" TargetMode="External" /><Relationship Type="http://schemas.openxmlformats.org/officeDocument/2006/relationships/hyperlink" Id="rId89" Target="bronnen/bronvergelijkingen/NDFF_STAGINGDATASET.md" TargetMode="External" /><Relationship Type="http://schemas.openxmlformats.org/officeDocument/2006/relationships/hyperlink" Id="rId93" Target="bronnen/importbesluiten/DUINVALLEI_VEGETATIE.md" TargetMode="External" /><Relationship Type="http://schemas.openxmlformats.org/officeDocument/2006/relationships/hyperlink" Id="rId94" Target="bronnen/importbesluiten/MEIJENDEL_RUIMTELIJKE_LAGEN.md" TargetMode="External" /><Relationship Type="http://schemas.openxmlformats.org/officeDocument/2006/relationships/hyperlink" Id="rId95" Target="bronnen/importbesluiten/NDFF_SECURE_ONTVANGST.md" TargetMode="External" /><Relationship Type="http://schemas.openxmlformats.org/officeDocument/2006/relationships/hyperlink" Id="rId36" Target="database/TAXONREGISTER.md" TargetMode="External" /><Relationship Type="http://schemas.openxmlformats.org/officeDocument/2006/relationships/hyperlink" Id="rId77" Target="https://doi.org/10.1007/s10531-025-03175-x" TargetMode="External" /><Relationship Type="http://schemas.openxmlformats.org/officeDocument/2006/relationships/hyperlink" Id="rId71" Target="https://doi.org/10.1371/journal.pone.0099852" TargetMode="External" /><Relationship Type="http://schemas.openxmlformats.org/officeDocument/2006/relationships/hyperlink" Id="rId15" Target="https://doi.org/10.15468/adsbxs" TargetMode="External" /><Relationship Type="http://schemas.openxmlformats.org/officeDocument/2006/relationships/hyperlink" Id="rId73" Target="https://doi.org/10.17026/DANS-28X-UT8Q" TargetMode="External" /><Relationship Type="http://schemas.openxmlformats.org/officeDocument/2006/relationships/hyperlink" Id="rId69" Target="https://doi.org/10.5061/dryad.8cz8w9gnc" TargetMode="External" /><Relationship Type="http://schemas.openxmlformats.org/officeDocument/2006/relationships/hyperlink" Id="rId52" Target="https://doi.org/10.5281/zenodo.21796880" TargetMode="External" /><Relationship Type="http://schemas.openxmlformats.org/officeDocument/2006/relationships/hyperlink" Id="rId67" Target="https://doi.org/10.6084/m9.figshare.25425601.v1" TargetMode="External" /><Relationship Type="http://schemas.openxmlformats.org/officeDocument/2006/relationships/hyperlink" Id="rId65" Target="https://repository.naturalis.nl/pub/317221" TargetMode="External" /><Relationship Type="http://schemas.openxmlformats.org/officeDocument/2006/relationships/hyperlink" Id="rId63" Target="https://repository.naturalis.nl/pub/3172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2026-10-03T14:37:52Z</dcterms:created>
  <dcterms:modified xsi:type="dcterms:W3CDTF">2026-10-03T14:37:52Z</dcterms:modified>
</cp:coreProperties>
</file>

<file path=docProps/custom.xml><?xml version="1.0" encoding="utf-8"?>
<Properties xmlns="http://schemas.openxmlformats.org/officeDocument/2006/custom-properties" xmlns:vt="http://schemas.openxmlformats.org/officeDocument/2006/docPropsVTypes"/>
</file>